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883" w:firstLineChars="200"/>
        <w:jc w:val="center"/>
        <w:rPr>
          <w:rStyle w:val="4"/>
          <w:rFonts w:hint="eastAsia"/>
          <w:b w:val="0"/>
          <w:i w:val="0"/>
          <w:color w:val="000000"/>
        </w:rPr>
      </w:pPr>
      <w:r>
        <w:rPr>
          <w:rFonts w:hint="eastAsia"/>
          <w:b/>
          <w:bCs/>
          <w:sz w:val="44"/>
          <w:szCs w:val="44"/>
        </w:rPr>
        <w:t>2020年奉新县本级</w:t>
      </w:r>
      <w:r>
        <w:rPr>
          <w:rFonts w:ascii="黑体" w:hAnsi="宋体" w:eastAsia="黑体" w:cs="黑体"/>
          <w:b w:val="0"/>
          <w:i w:val="0"/>
          <w:color w:val="000000"/>
          <w:sz w:val="44"/>
          <w:szCs w:val="44"/>
        </w:rPr>
        <w:t>社会保险基金预算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/>
          <w:b/>
          <w:bCs/>
          <w:sz w:val="44"/>
          <w:szCs w:val="44"/>
        </w:rPr>
        <w:t>收入决算的说明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Style w:val="4"/>
          <w:rFonts w:hint="eastAsia"/>
          <w:b w:val="0"/>
          <w:i w:val="0"/>
          <w:color w:val="000000"/>
          <w:lang w:val="en-US" w:eastAsia="zh-CN"/>
        </w:rPr>
        <w:t>2020年奉新县本级</w:t>
      </w:r>
      <w:r>
        <w:rPr>
          <w:rStyle w:val="4"/>
          <w:rFonts w:hint="eastAsia" w:eastAsia="仿宋"/>
          <w:b w:val="0"/>
          <w:i w:val="0"/>
          <w:color w:val="000000"/>
          <w:lang w:val="en-US" w:eastAsia="zh-CN"/>
        </w:rPr>
        <w:t>社会保险基金</w:t>
      </w:r>
      <w:r>
        <w:rPr>
          <w:rStyle w:val="4"/>
          <w:rFonts w:hint="eastAsia"/>
          <w:b w:val="0"/>
          <w:i w:val="0"/>
          <w:color w:val="000000"/>
          <w:lang w:val="en-US" w:eastAsia="zh-CN"/>
        </w:rPr>
        <w:t>预算收入决算较上年下降37.86%， 主要是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县本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级只开展了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</w:rPr>
        <w:t>城乡居民基本养老保险基金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、机关事业单位基本养老保险、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</w:rPr>
        <w:t>职工基本医疗保险(含生育保险)基金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、城乡居民基本医疗保险基金、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工伤保险和失业保险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的核算。企业职工基本养老保险基金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、工伤保险基金收入上划市级统筹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。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城乡居民基本医疗保险基金收入较上年增长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12.96%，主要为财政补贴收入增长688万元。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机关事业单位基本养老保险基金收入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较上年增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18.27%，主要财政补贴收入增长3426万元。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职工基本医疗保险基金收入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较上年增长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10.13%，主要医保缴费标准提高，社会保险费收入增长855万元。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城乡居民基本医疗保险基金收入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较上年下降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8.81%，主要是财政补贴收入较上年减少2678万元。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失业保险基金收入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上年下降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5.71%，主要是社会保险费收入较上年减少15</w:t>
      </w: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万元，利息收入减少28万元。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C25DF"/>
    <w:rsid w:val="2584571D"/>
    <w:rsid w:val="4740348D"/>
    <w:rsid w:val="4FD15ABA"/>
    <w:rsid w:val="733007C7"/>
    <w:rsid w:val="749D7DF2"/>
    <w:rsid w:val="776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2021-11-28T08:57:43Z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