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/>
          <w:b w:val="0"/>
          <w:i w:val="0"/>
          <w:color w:val="000000"/>
        </w:rPr>
      </w:pPr>
      <w:r>
        <w:rPr>
          <w:rFonts w:hint="eastAsia"/>
          <w:b/>
          <w:bCs/>
          <w:sz w:val="44"/>
          <w:szCs w:val="44"/>
        </w:rPr>
        <w:t>2020年奉新县本级国有资本经营预算收入决算的说明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2020年奉新县本级国有资本经营预算收入决算较上年增长7.75%， 主要原因新增上级补助收入11万元。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15ABA"/>
    <w:rsid w:val="733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2021-10-07T02:52:01Z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