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center"/>
        <w:rPr>
          <w:rFonts w:hint="eastAsia" w:ascii="方正小标宋简体" w:hAnsi="仿宋" w:eastAsia="方正小标宋简体" w:cs="Calibri"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Calibri"/>
          <w:kern w:val="0"/>
          <w:sz w:val="44"/>
          <w:szCs w:val="44"/>
        </w:rPr>
        <w:t>奉新县</w:t>
      </w:r>
      <w:r>
        <w:rPr>
          <w:rFonts w:hint="eastAsia" w:ascii="方正小标宋简体" w:hAnsi="仿宋" w:eastAsia="方正小标宋简体" w:cs="Calibri"/>
          <w:kern w:val="0"/>
          <w:sz w:val="44"/>
          <w:szCs w:val="44"/>
          <w:lang w:eastAsia="zh-CN"/>
        </w:rPr>
        <w:t>工信局2023</w:t>
      </w:r>
      <w:r>
        <w:rPr>
          <w:rFonts w:hint="eastAsia" w:ascii="方正小标宋简体" w:hAnsi="仿宋" w:eastAsia="方正小标宋简体" w:cs="Calibri"/>
          <w:kern w:val="0"/>
          <w:sz w:val="44"/>
          <w:szCs w:val="44"/>
        </w:rPr>
        <w:t>年政府信息</w:t>
      </w:r>
      <w:r>
        <w:rPr>
          <w:rFonts w:hint="eastAsia" w:ascii="方正小标宋简体" w:hAnsi="仿宋" w:eastAsia="方正小标宋简体" w:cs="Calibri"/>
          <w:kern w:val="0"/>
          <w:sz w:val="44"/>
          <w:szCs w:val="44"/>
          <w:lang w:eastAsia="zh-CN"/>
        </w:rPr>
        <w:t>公开</w:t>
      </w:r>
    </w:p>
    <w:p>
      <w:pPr>
        <w:widowControl/>
        <w:ind w:firstLine="640"/>
        <w:jc w:val="center"/>
        <w:rPr>
          <w:rFonts w:hint="eastAsia" w:ascii="方正小标宋简体" w:hAnsi="仿宋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Calibri"/>
          <w:kern w:val="0"/>
          <w:sz w:val="44"/>
          <w:szCs w:val="44"/>
        </w:rPr>
        <w:t>工作年度报告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根据《中华人民共和国政府信息公开条例》规定，现公布奉新县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工信局2023</w:t>
      </w:r>
      <w:r>
        <w:rPr>
          <w:rFonts w:hint="eastAsia" w:ascii="仿宋" w:hAnsi="仿宋" w:eastAsia="仿宋" w:cs="Calibri"/>
          <w:kern w:val="0"/>
          <w:sz w:val="32"/>
          <w:szCs w:val="32"/>
        </w:rPr>
        <w:t>年政府信息公开工作年度报告。本报告中所列数据统计期限自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Calibri"/>
          <w:kern w:val="0"/>
          <w:sz w:val="32"/>
          <w:szCs w:val="32"/>
        </w:rPr>
        <w:t>年1月1日起至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Calibri"/>
          <w:kern w:val="0"/>
          <w:sz w:val="32"/>
          <w:szCs w:val="32"/>
        </w:rPr>
        <w:t>年12月31日止。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全文包括总体情况、主动公开政府信息的情况、收到和处理政府信息公开申请情况、政府信息公开行政复议、行政诉讼情况、存在的主要问题和改进情况、其他需要报告的事项等六大部分。</w:t>
      </w:r>
      <w:r>
        <w:rPr>
          <w:rFonts w:hint="eastAsia" w:ascii="仿宋" w:hAnsi="仿宋" w:eastAsia="仿宋" w:cs="Calibri"/>
          <w:kern w:val="0"/>
          <w:sz w:val="32"/>
          <w:szCs w:val="32"/>
        </w:rPr>
        <w:t>本年报电子版通过中国奉新政府网（http://www.fengxin.gov.cn）全文公开。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如有疑问，请与</w:t>
      </w:r>
      <w:r>
        <w:rPr>
          <w:rFonts w:hint="default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fill="FFFFFF"/>
        </w:rPr>
        <w:t>奉新县工信局联系</w:t>
      </w:r>
      <w:r>
        <w:rPr>
          <w:rFonts w:hint="eastAsia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fill="FFFFFF"/>
        </w:rPr>
        <w:t>（地址：奉新县行政中心四楼；邮编：330700；联系电话：0795-7188111）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一、总体情况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MS Gothic" w:hAnsi="MS Gothic" w:eastAsia="MS Gothic" w:cs="Calibri"/>
          <w:color w:val="333333"/>
          <w:kern w:val="0"/>
          <w:sz w:val="32"/>
          <w:szCs w:val="32"/>
          <w:shd w:val="clear" w:color="auto" w:fill="FFFFFF"/>
        </w:rPr>
        <w:t>​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Calibri"/>
          <w:kern w:val="0"/>
          <w:sz w:val="32"/>
          <w:szCs w:val="32"/>
        </w:rPr>
        <w:t>年，县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工信局</w:t>
      </w:r>
      <w:r>
        <w:rPr>
          <w:rFonts w:hint="eastAsia" w:ascii="仿宋" w:hAnsi="仿宋" w:eastAsia="仿宋" w:cs="Calibri"/>
          <w:kern w:val="0"/>
          <w:sz w:val="32"/>
          <w:szCs w:val="32"/>
        </w:rPr>
        <w:t>在县委、县政府的坚强领导下，按照新时代党的建设总要求，以习近平新时代中国特色社会主义思想为指导，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全面贯彻落实</w:t>
      </w:r>
      <w:r>
        <w:rPr>
          <w:rFonts w:hint="eastAsia" w:ascii="仿宋" w:hAnsi="仿宋" w:eastAsia="仿宋" w:cs="Calibri"/>
          <w:kern w:val="0"/>
          <w:sz w:val="32"/>
          <w:szCs w:val="32"/>
        </w:rPr>
        <w:t>中央、省、市、县政府信息公开相关要求，坚持以人民为中心，以政府网站和政务新媒体为载体，遵循公正、公平、合法、便民的原则，以公开为常态、不公开为例外，不断健全完善工作制度，抓好政府信息公开工作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kern w:val="0"/>
          <w:sz w:val="32"/>
          <w:szCs w:val="32"/>
        </w:rPr>
        <w:t>（一）</w:t>
      </w:r>
      <w:r>
        <w:rPr>
          <w:rFonts w:hint="eastAsia" w:ascii="楷体" w:hAnsi="楷体" w:eastAsia="楷体" w:cs="Calibri"/>
          <w:color w:val="333333"/>
          <w:kern w:val="0"/>
          <w:sz w:val="32"/>
          <w:szCs w:val="32"/>
          <w:shd w:val="clear" w:color="auto" w:fill="FFFFFF"/>
        </w:rPr>
        <w:t>主动公开方面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Calibri"/>
          <w:kern w:val="0"/>
          <w:sz w:val="32"/>
          <w:szCs w:val="32"/>
        </w:rPr>
        <w:t>年，我局在政府网站新增主动公开政府信息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85</w:t>
      </w:r>
      <w:bookmarkStart w:id="0" w:name="_GoBack"/>
      <w:bookmarkEnd w:id="0"/>
      <w:r>
        <w:rPr>
          <w:rFonts w:hint="eastAsia" w:ascii="仿宋" w:hAnsi="仿宋" w:eastAsia="仿宋" w:cs="Calibri"/>
          <w:kern w:val="0"/>
          <w:sz w:val="32"/>
          <w:szCs w:val="32"/>
        </w:rPr>
        <w:t>条，其中工作动态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Calibri"/>
          <w:kern w:val="0"/>
          <w:sz w:val="32"/>
          <w:szCs w:val="32"/>
        </w:rPr>
        <w:t>条，政策文件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Calibri"/>
          <w:kern w:val="0"/>
          <w:sz w:val="32"/>
          <w:szCs w:val="32"/>
        </w:rPr>
        <w:t>条，解读回应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Calibri"/>
          <w:kern w:val="0"/>
          <w:sz w:val="32"/>
          <w:szCs w:val="32"/>
        </w:rPr>
        <w:t>条，行政执法2条，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概况</w:t>
      </w:r>
      <w:r>
        <w:rPr>
          <w:rFonts w:hint="eastAsia" w:ascii="仿宋" w:hAnsi="仿宋" w:eastAsia="仿宋" w:cs="Calibri"/>
          <w:kern w:val="0"/>
          <w:sz w:val="32"/>
          <w:szCs w:val="32"/>
        </w:rPr>
        <w:t>信息2条，财政预决算6条，工作计划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Calibri"/>
          <w:kern w:val="0"/>
          <w:sz w:val="32"/>
          <w:szCs w:val="32"/>
        </w:rPr>
        <w:t>条，技改备案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Calibri"/>
          <w:kern w:val="0"/>
          <w:sz w:val="32"/>
          <w:szCs w:val="32"/>
        </w:rPr>
        <w:t>条，</w:t>
      </w:r>
      <w:r>
        <w:rPr>
          <w:rFonts w:hint="eastAsia" w:ascii="仿宋" w:hAnsi="仿宋" w:eastAsia="仿宋" w:cs="Calibri"/>
          <w:kern w:val="0"/>
          <w:sz w:val="32"/>
          <w:szCs w:val="32"/>
          <w:highlight w:val="none"/>
        </w:rPr>
        <w:t>建议提案办理</w:t>
      </w:r>
      <w:r>
        <w:rPr>
          <w:rFonts w:hint="eastAsia" w:ascii="仿宋" w:hAnsi="仿宋" w:eastAsia="仿宋" w:cs="Calibri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Calibri"/>
          <w:kern w:val="0"/>
          <w:sz w:val="32"/>
          <w:szCs w:val="32"/>
          <w:highlight w:val="none"/>
        </w:rPr>
        <w:t>条</w:t>
      </w: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制造业重点产业链现代化建设4条</w:t>
      </w:r>
      <w:r>
        <w:rPr>
          <w:rFonts w:hint="eastAsia" w:ascii="仿宋" w:hAnsi="仿宋" w:eastAsia="仿宋" w:cs="Calibri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  <w:shd w:val="clear" w:color="auto" w:fill="FFFFFF"/>
        </w:rPr>
        <w:t>（二）依申请公开方面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default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fill="FFFFFF"/>
        </w:rPr>
        <w:t>年县工信局未收到政府信息公开申请，无依申请公开情况。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  <w:shd w:val="clear" w:color="auto" w:fill="FFFFFF"/>
        </w:rPr>
        <w:t>（三）政府信息管理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成立了政府信息公开领导小组，一把手亲自担任组长，其他局领导担任副组长，各股室主要负责人作为政府信息公开的组成人员。明确了人秘股为信息公开的牵头部门，负责信息公开工作的组织和协调，负责上网公开信息的编辑发布工作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  <w:shd w:val="clear" w:color="auto" w:fill="FFFFFF"/>
        </w:rPr>
        <w:t>（四）政府信息公开平台建设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建立健全制度，提升政务公开质量。严格审核公开内容，规范信息报送制度，凡是需要在政务公开栏和我局网站公开的内容，需报分管领导审批、经审核同意后才能进行公开。按要求完成政府门户网站上公开栏目的信息更新，做好公开内容保障，定期排查已公开信息，对网站监测出的问题第一时间整改，确保网站发布信息的准确性</w:t>
      </w:r>
      <w:r>
        <w:rPr>
          <w:rFonts w:hint="eastAsia" w:ascii="仿宋" w:hAnsi="仿宋" w:eastAsia="仿宋" w:cs="Calibri"/>
          <w:color w:val="282828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楷体" w:hAnsi="楷体" w:eastAsia="楷体" w:cs="Calibri"/>
          <w:color w:val="333333"/>
          <w:kern w:val="0"/>
          <w:sz w:val="32"/>
          <w:szCs w:val="32"/>
          <w:shd w:val="clear" w:color="auto" w:fill="FFFFFF"/>
        </w:rPr>
        <w:t>（五）监督保障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shd w:val="clear" w:color="auto" w:fill="FFFFFF"/>
        </w:rPr>
        <w:t>坚持在政府门户网站上公开信息的情况进行不定期监督检查，加督促检查力度，实行有效监督。对发现的问题及时进行分析，及时改进，确保政府信息公开及时、全面、真实</w:t>
      </w:r>
      <w:r>
        <w:rPr>
          <w:rFonts w:hint="eastAsia" w:ascii="仿宋" w:hAnsi="仿宋" w:eastAsia="仿宋" w:cs="Calibri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二、主动公开政府信息情况</w:t>
      </w:r>
    </w:p>
    <w:tbl>
      <w:tblPr>
        <w:tblStyle w:val="3"/>
        <w:tblW w:w="790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971"/>
        <w:gridCol w:w="1971"/>
        <w:gridCol w:w="19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本年收费金额（单位：万元）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600" w:lineRule="exact"/>
        <w:rPr>
          <w:rFonts w:ascii="Calibri" w:hAnsi="Calibri" w:eastAsia="宋体" w:cs="Calibri"/>
          <w:kern w:val="0"/>
          <w:szCs w:val="21"/>
        </w:rPr>
      </w:pP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419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390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申请人情况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商业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科研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659" w:type="dxa"/>
            <w:vMerge w:val="restart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3.危及“三安全一稳定”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（五）不予处理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390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8479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2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行政诉讼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  <w:tc>
          <w:tcPr>
            <w:tcW w:w="2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维持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纠正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结果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Calibri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尚未</w:t>
            </w:r>
          </w:p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审结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600" w:lineRule="exact"/>
        <w:ind w:firstLine="642"/>
        <w:rPr>
          <w:rFonts w:hint="eastAsia" w:ascii="仿宋" w:hAnsi="仿宋" w:eastAsia="仿宋" w:cs="Calibri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eastAsia="zh-CN"/>
        </w:rPr>
        <w:t>2023年我局的政府信息公开工作虽然取得了一定的成果，但离《条例》的要求还存在一定的差距,主要是：1、政务公开的时效性、规范性有待加强；2.政策解读创新性不够。</w:t>
      </w:r>
    </w:p>
    <w:p>
      <w:pPr>
        <w:widowControl/>
        <w:spacing w:line="600" w:lineRule="exact"/>
        <w:ind w:firstLine="640"/>
        <w:rPr>
          <w:rFonts w:hint="eastAsia"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今后，我们将严格按照国家和省、市、县有关要求，进一步完善政务公开栏目建设，聚焦聚力重点工作，及时发布权威信息，大力提升网站发布信息、解读政策、回应关切、引导舆论的功能，全面提升政务公开的质量和实效，努力实现我委政务公开工作水平的全面提升，为推动全县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工业</w:t>
      </w:r>
      <w:r>
        <w:rPr>
          <w:rFonts w:hint="eastAsia" w:ascii="仿宋" w:hAnsi="仿宋" w:eastAsia="仿宋" w:cs="Calibri"/>
          <w:kern w:val="0"/>
          <w:sz w:val="32"/>
          <w:szCs w:val="32"/>
        </w:rPr>
        <w:t>高质量跨越式发展作出新贡献。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黑体" w:hAnsi="黑体" w:eastAsia="黑体" w:cs="Calibri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按照《政府信息公开信息处理费管理办法》（国办函〔2020〕109号）文件规定的按件、按量收费标准，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年，我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未收取政府信息公开信息处理费。</w:t>
      </w:r>
    </w:p>
    <w:p>
      <w:pPr>
        <w:widowControl/>
        <w:spacing w:line="600" w:lineRule="exact"/>
        <w:ind w:firstLine="64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无其他需要报告事项。</w:t>
      </w:r>
    </w:p>
    <w:p>
      <w:pPr>
        <w:widowControl/>
        <w:ind w:firstLine="640"/>
        <w:rPr>
          <w:rFonts w:ascii="Calibri" w:hAnsi="Calibri" w:eastAsia="宋体" w:cs="Calibri"/>
          <w:kern w:val="0"/>
          <w:szCs w:val="21"/>
        </w:rPr>
      </w:pPr>
    </w:p>
    <w:p>
      <w:pPr>
        <w:widowControl/>
        <w:ind w:firstLine="640"/>
        <w:rPr>
          <w:rFonts w:ascii="Calibri" w:hAnsi="Calibri" w:eastAsia="宋体" w:cs="Calibri"/>
          <w:kern w:val="0"/>
          <w:szCs w:val="21"/>
        </w:rPr>
      </w:pPr>
    </w:p>
    <w:p>
      <w:pPr>
        <w:widowControl/>
        <w:ind w:firstLine="640"/>
        <w:jc w:val="right"/>
        <w:rPr>
          <w:rFonts w:hint="eastAsia" w:ascii="Calibri" w:hAnsi="Calibri" w:eastAsia="仿宋" w:cs="Calibri"/>
          <w:kern w:val="0"/>
          <w:szCs w:val="21"/>
          <w:lang w:eastAsia="zh-CN"/>
        </w:rPr>
      </w:pP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奉新县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eastAsia="zh-CN"/>
        </w:rPr>
        <w:t>工信局</w:t>
      </w:r>
    </w:p>
    <w:p>
      <w:pPr>
        <w:widowControl/>
        <w:ind w:firstLine="640"/>
        <w:jc w:val="right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年1月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Calibri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WM5YTliOTJkNzE4MDc3YzNmMWY1OGJkZDc4MWMifQ=="/>
  </w:docVars>
  <w:rsids>
    <w:rsidRoot w:val="00D82159"/>
    <w:rsid w:val="000E514B"/>
    <w:rsid w:val="00B13F12"/>
    <w:rsid w:val="00D82159"/>
    <w:rsid w:val="00E47A2C"/>
    <w:rsid w:val="1CD407F7"/>
    <w:rsid w:val="21FC1CD6"/>
    <w:rsid w:val="3AD177C0"/>
    <w:rsid w:val="3B986825"/>
    <w:rsid w:val="545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2164</Words>
  <Characters>2264</Characters>
  <Lines>22</Lines>
  <Paragraphs>6</Paragraphs>
  <TotalTime>370</TotalTime>
  <ScaleCrop>false</ScaleCrop>
  <LinksUpToDate>false</LinksUpToDate>
  <CharactersWithSpaces>2264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2023-02-01T02:03:00Z</dcterms:created>
  <dc:creator>cctv-0</dc:creator>
  <cp:lastModifiedBy>佳宸宸</cp:lastModifiedBy>
  <dcterms:modified xsi:type="dcterms:W3CDTF">2024-01-29T08:25:59Z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B82A153AE2084A0CA8FECE7107E63166_13</vt:lpwstr>
  </property>
</Properties>
</file>