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本年度报告根据《中华人民共和国政府信息公开条例》（以下简称《条例》）要求，汇总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bookmarkStart w:id="0" w:name="_GoBack"/>
      <w:bookmarkEnd w:id="0"/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年度奉新县教育体育局政府信息公开工作编制而成。本年度报告中所列数据的统计期限自202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年1月1日起至202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年12月31日止。</w:t>
      </w:r>
      <w:r>
        <w:rPr>
          <w:rFonts w:hint="default" w:ascii="仿宋_GB2312" w:hAnsi="Calibri" w:eastAsia="仿宋_GB2312" w:cs="仿宋_GB2312"/>
          <w:color w:val="333333"/>
          <w:kern w:val="2"/>
          <w:sz w:val="32"/>
          <w:szCs w:val="32"/>
          <w:lang w:val="en-US" w:eastAsia="zh-CN" w:bidi="ar"/>
        </w:rPr>
        <w:t>本年度报告的电子版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通过中国奉新政府网（http://www.fengxin.gov.cn）全文公开，欢迎查阅。</w:t>
      </w:r>
      <w:r>
        <w:rPr>
          <w:rFonts w:hint="default" w:ascii="仿宋_GB2312" w:hAnsi="Calibri" w:eastAsia="仿宋_GB2312" w:cs="仿宋_GB2312"/>
          <w:color w:val="333333"/>
          <w:kern w:val="2"/>
          <w:sz w:val="32"/>
          <w:szCs w:val="32"/>
          <w:lang w:val="en-US" w:eastAsia="zh-CN" w:bidi="ar"/>
        </w:rPr>
        <w:t>如对本报告有任何疑问，请与奉新县教体局联系（地址：奉新县新吴大道193号，电话：0795-4622324，邮编：330700）。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黑体" w:hAnsi="宋体" w:eastAsia="黑体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，在县委、县政府的正确领导下，县教体局坚持以习近平新时代中国特色社会主义思想为指导，紧紧围绕省市县委、县政府中心工作及社会群众关注关切的热点难点，着力提升政府信息公开质量，推进拓宽政府信息公开渠道，不断增强政府信息公开实效，推进政务公开标准化、规范化。现将我局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年度政府信息公开工作报告如下：</w:t>
      </w: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楷体_GB2312" w:hAnsi="宋体" w:eastAsia="楷体_GB2312" w:cs="宋体"/>
          <w:b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楷体_GB2312" w:hAnsi="宋体" w:eastAsia="楷体_GB2312" w:cs="楷体_GB2312"/>
          <w:b/>
          <w:bCs/>
          <w:kern w:val="2"/>
          <w:sz w:val="32"/>
          <w:szCs w:val="32"/>
          <w:lang w:val="en-US" w:eastAsia="zh-CN" w:bidi="ar"/>
        </w:rPr>
        <w:t>（一）主动公开方面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年，我局202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年主动公开政务信息1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76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条，其中工作动态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50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条，概况信息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条，政策文件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条，工作计划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条，财政预决算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60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条，脱贫攻坚1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条，教育信息21条，政府信息公开年度报告1条，公共体育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条，行政权力运行结果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条，解读回应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条，建议提案办理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条，决策预公开1条，权责清单1条。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楷体_GB2312" w:hAnsi="宋体" w:eastAsia="楷体_GB2312" w:cs="宋体"/>
          <w:b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楷体_GB2312" w:hAnsi="宋体" w:eastAsia="楷体_GB2312" w:cs="楷体_GB2312"/>
          <w:b/>
          <w:bCs/>
          <w:kern w:val="2"/>
          <w:sz w:val="32"/>
          <w:szCs w:val="32"/>
          <w:lang w:val="en-US" w:eastAsia="zh-CN" w:bidi="ar"/>
        </w:rPr>
        <w:t>（二）依申请公开方面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年度，我局未接到政府信息公开申请件。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楷体_GB2312" w:hAnsi="宋体" w:eastAsia="楷体_GB2312" w:cs="宋体"/>
          <w:b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楷体_GB2312" w:hAnsi="宋体" w:eastAsia="楷体_GB2312" w:cs="楷体_GB2312"/>
          <w:b/>
          <w:bCs/>
          <w:kern w:val="2"/>
          <w:sz w:val="32"/>
          <w:szCs w:val="32"/>
          <w:lang w:val="en-US" w:eastAsia="zh-CN" w:bidi="ar"/>
        </w:rPr>
        <w:t>（三）健全组织机构方面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为加强对政府信息公开工作的领导，县教体局成立了由主要领导任组长，分管领导任常务副组长，其他班子成员为副组长，各股室负责人为成员的政府信息公开工作领导小组，领导小组下设办公室，负责政府信息公开工作的信息发布、信息审核和解读回应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并履行三审三校手续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楷体_GB2312" w:hAnsi="宋体" w:eastAsia="楷体_GB2312" w:cs="宋体"/>
          <w:b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楷体_GB2312" w:hAnsi="宋体" w:eastAsia="楷体_GB2312" w:cs="楷体_GB2312"/>
          <w:b/>
          <w:bCs/>
          <w:kern w:val="2"/>
          <w:sz w:val="32"/>
          <w:szCs w:val="32"/>
          <w:lang w:val="en-US" w:eastAsia="zh-CN" w:bidi="ar"/>
        </w:rPr>
        <w:t>（四）建立健全制度方面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根据《政府信息公开条例》的要求，县教体局建立了信息公开保密审查和责任追究制度，安排专人管理，并严格实行信息公开保密审查。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二、公开政府信息情况</w:t>
      </w:r>
      <w:r>
        <w:rPr>
          <w:rFonts w:hint="eastAsia" w:ascii="黑体" w:hAnsi="宋体" w:eastAsia="黑体" w:cs="宋体"/>
          <w:bCs/>
          <w:kern w:val="2"/>
          <w:sz w:val="32"/>
          <w:szCs w:val="32"/>
          <w:lang w:val="en-US" w:eastAsia="zh-CN" w:bidi="ar"/>
        </w:rPr>
        <w:t xml:space="preserve"> </w:t>
      </w: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534"/>
        <w:gridCol w:w="2402"/>
        <w:gridCol w:w="2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88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515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54"/>
        <w:gridCol w:w="1682"/>
        <w:gridCol w:w="695"/>
        <w:gridCol w:w="695"/>
        <w:gridCol w:w="715"/>
        <w:gridCol w:w="794"/>
        <w:gridCol w:w="804"/>
        <w:gridCol w:w="715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65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33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65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72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65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65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65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65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89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629"/>
        <w:gridCol w:w="629"/>
        <w:gridCol w:w="629"/>
        <w:gridCol w:w="596"/>
        <w:gridCol w:w="567"/>
        <w:gridCol w:w="445"/>
        <w:gridCol w:w="629"/>
        <w:gridCol w:w="629"/>
        <w:gridCol w:w="567"/>
        <w:gridCol w:w="567"/>
        <w:gridCol w:w="475"/>
        <w:gridCol w:w="629"/>
        <w:gridCol w:w="630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31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812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9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97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经过一年的努力，我局在政府信息公开方面认真开展工作，取得了一些成绩，但总体上仍存在一些问题和不足。一是人员少，政务信息公开的工作力度还不够，公开的信息项目、内容、形式都需要进一步加强和完善。二是随着政府信息公开工作要求的不断提高，信息公开人员还需进一步专业化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    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Cs/>
          <w:kern w:val="2"/>
          <w:sz w:val="32"/>
          <w:szCs w:val="32"/>
          <w:lang w:val="en-US" w:eastAsia="zh-CN" w:bidi="ar"/>
        </w:rPr>
        <w:t>年，我局没有其他需要报告的事项。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5"/>
        <w:jc w:val="left"/>
      </w:pPr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jM5NjQ2NDVkYjU3ZmQ2MWEzOWY4OWQ0MTE0N2QifQ=="/>
  </w:docVars>
  <w:rsids>
    <w:rsidRoot w:val="30414E68"/>
    <w:rsid w:val="2A6658C7"/>
    <w:rsid w:val="304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2024-01-08T08:49:00Z</dcterms:created>
  <dc:creator>Administrator</dc:creator>
  <cp:lastModifiedBy>Administrator</cp:lastModifiedBy>
  <dcterms:modified xsi:type="dcterms:W3CDTF">2024-01-08T09:03:27Z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092F159A00D046B793176C95402D835B_11</vt:lpwstr>
  </property>
</Properties>
</file>