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fill="FFFFFF"/>
        </w:rPr>
        <w:t>宜春市奉新生态环境局2023年政府信息公开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w w:val="90"/>
          <w:sz w:val="44"/>
          <w:szCs w:val="44"/>
          <w:shd w:val="clear" w:fill="FFFFFF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 w:firstLineChars="200"/>
        <w:jc w:val="left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根据《中华人民共和国政府信息公开条例》要求，现向社会公布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宜春市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奉新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生态环境局2023年政府信息公开工作年度报告（以下简称报告）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报告使用数据统计期限为2023年1月1日至2023年12月31日。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Calibri" w:hAnsi="Calibri" w:eastAsia="仿宋_GB2312" w:cs="Calibri"/>
          <w:sz w:val="21"/>
          <w:szCs w:val="21"/>
          <w:lang w:eastAsia="zh-CN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2023年，我局全面落实省、市、县政府有关政务公开工作部署，结合我局实际，着力推进政务公开、政府信息公开和办事公开，创新政务公开形式，突出政务公开重点，提高政务公开水平，促进了各项工作顺利开展，取得了积极成效。现将我局政务公开工作的成效总结如下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2023年，全年主动公开信息206条，其中工作动态69条、环境保护23条、项目环评75条、行政执法27条、解读回应2条、概况信息2条、工作计划2条、财政预决算2条、提案办理1条、权责清单1条、行政强制公示1条、政府信息年度公开信息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2023年1月1日至2023年12月31日，我局共收到依申请件0件。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按照网络意识形态责任制要求，坚持做好信息公开和保密审核工作，严格落实“三审三校”机制和政府信息公开属性源头认定机制，对公开发布的信息进行全流程备案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。所有栏目的信息都严格按照 “上网信息不涉密，涉密信息不上网”的要求，做到及时、准确、全面、规范地公开。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 提升信息发布平台功能，进一步规范栏目建设，适时开展规范性文件集中清理。2023年，“宜春市奉新生态环境局”微信公众号发布原创信息104条，“宜春市奉新生态环境局”政务微博发布信息173条。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b/>
          <w:bCs/>
          <w:color w:val="333333"/>
          <w:sz w:val="32"/>
          <w:szCs w:val="32"/>
          <w:shd w:val="clear" w:fill="FFFFFF"/>
        </w:rPr>
        <w:t>（五）监督保障责任落实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确保信息公开工作有序地发展，严格落实政务公开工作各项决策部署，局分管负责人定期对各股室所涉及公开的内容进行检查督查，进一步提高政务信息公开的规范性和及时性，确保政府信息公开工作落到实处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3"/>
        <w:tblW w:w="7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1"/>
        <w:gridCol w:w="1971"/>
        <w:gridCol w:w="1971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 三、收到和处理政府信息公开申请情况</w:t>
      </w:r>
    </w:p>
    <w:tbl>
      <w:tblPr>
        <w:tblStyle w:val="3"/>
        <w:tblW w:w="19320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9"/>
        <w:gridCol w:w="1268"/>
        <w:gridCol w:w="1916"/>
        <w:gridCol w:w="1173"/>
        <w:gridCol w:w="1085"/>
        <w:gridCol w:w="966"/>
        <w:gridCol w:w="877"/>
        <w:gridCol w:w="2446"/>
        <w:gridCol w:w="2860"/>
        <w:gridCol w:w="4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6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1341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5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color="0100FE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自然人</w:t>
            </w:r>
          </w:p>
        </w:tc>
        <w:tc>
          <w:tcPr>
            <w:tcW w:w="8325" w:type="dxa"/>
            <w:gridSpan w:val="5"/>
            <w:tcBorders>
              <w:top w:val="single" w:color="000000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法人或其他组织</w:t>
            </w:r>
          </w:p>
        </w:tc>
        <w:tc>
          <w:tcPr>
            <w:tcW w:w="3660" w:type="dxa"/>
            <w:vMerge w:val="restart"/>
            <w:tcBorders>
              <w:top w:val="single" w:color="000000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5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100FE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100FE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</w:t>
            </w:r>
          </w:p>
        </w:tc>
        <w:tc>
          <w:tcPr>
            <w:tcW w:w="975" w:type="dxa"/>
            <w:tcBorders>
              <w:top w:val="single" w:color="0100FE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机构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社会公益组织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法律服务机构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100FE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</w:p>
        </w:tc>
        <w:tc>
          <w:tcPr>
            <w:tcW w:w="3660" w:type="dxa"/>
            <w:vMerge w:val="continue"/>
            <w:tcBorders>
              <w:top w:val="single" w:color="000000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6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6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445" w:type="dxa"/>
            <w:vMerge w:val="restart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三、本年度办理结果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（一）予以公开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（三）不予公开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1.属于国家秘密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2.其他法律行政法规禁止公开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3.危及“三安全一稳定”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4.保护第三方合法权益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5.属于三类内部事务信息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6.属于四类过程性信息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7.属于行政执法案卷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8.属于行政查询事项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（四）无法提供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1.本机关不掌握相关政府信息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2.没有现成信息需要另行制作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3.补正后申请内容仍不明确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（五）不予处理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1.信访举报投诉类申请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2.重复申请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3.要求提供公开出版物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4.无正当理由大量反复申请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118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single" w:color="0100FE" w:sz="8" w:space="0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（六）其他处理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100FE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3.其他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45" w:type="dxa"/>
            <w:vMerge w:val="continue"/>
            <w:tcBorders>
              <w:top w:val="single" w:color="0100FE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（七）总计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6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  四、结转下年度继续办理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8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纠正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尚未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审结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Times New Roman" w:hAnsi="Times New Roman" w:cs="Times New Roman"/>
          <w:snapToGrid w:val="0"/>
          <w:sz w:val="32"/>
          <w:szCs w:val="32"/>
        </w:rPr>
        <w:t>2023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年，我局的政务公开工作取得了一定成效，但同时还存在信息公开时效性、规范性不够强的问题。下一步，我局将继续严格按照工作部署，不断加强组织领导，强化责任意识，定期开展自查自纠，抓好重点领域信息公开；不断总结工作方法，加强人员培训，提高政务公开人员的业务水平和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9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39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宜春市奉新生态环境局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2024年1月29日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Zjg3NzVmYWU3NjQ3YjRlMmMzMDA4OGYzMmVhNzMifQ=="/>
  </w:docVars>
  <w:rsids>
    <w:rsidRoot w:val="673640ED"/>
    <w:rsid w:val="673640ED"/>
    <w:rsid w:val="727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2024-01-30T09:02:00Z</dcterms:created>
  <dc:creator>OAIJIZIY</dc:creator>
  <cp:lastModifiedBy>热诤</cp:lastModifiedBy>
  <dcterms:modified xsi:type="dcterms:W3CDTF">2024-04-29T03:30:18Z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A888D38DF39045748159501713DA9FFC_13</vt:lpwstr>
  </property>
</Properties>
</file>