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sz w:val="44"/>
          <w:szCs w:val="44"/>
          <w:shd w:val="clear" w:fill="FFFFFF"/>
          <w:lang w:val="en-US" w:eastAsia="zh-CN"/>
        </w:rPr>
        <w:t>仰山乡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44"/>
          <w:szCs w:val="44"/>
          <w:shd w:val="clear" w:fill="FFFFFF"/>
        </w:rPr>
        <w:t>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根据《中华人民共和国政府信息公开条例》（以下简称《条例》）的规定和《政府信息公开工作年度报告》编制要求，编制本年度报告。报告中所列数据的统计期限自202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年12月31日止。本年报电子版通过中国奉新政府网（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</w:rPr>
        <w:instrText xml:space="preserve"> HYPERLINK "http://www.fengxin.gov.cn/" </w:instrTex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color w:val="auto"/>
          <w:spacing w:val="0"/>
          <w:sz w:val="32"/>
          <w:szCs w:val="32"/>
          <w:u w:val="single"/>
          <w:shd w:val="clear" w:fill="FFFFFF"/>
        </w:rPr>
        <w:t>http://www.fengxin.gov.cn</w: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）全文公开,如对本报告有疑问，请与奉新县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仰山乡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办公室联系（地址：奉新县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仰山乡仰山街77号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；邮编：3307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07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；电话：0795-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4431073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。）现将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仰山乡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今年政务公开工作报告如下：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仰山乡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坚持以习近平新时代中国特色社会主义思想为指导,全面贯彻党的二十大精神，深入落实习近平总书记视察江西重要讲话精神，按照党中央、国务院关于全面推进新时代政务公开的决策部署，紧紧围绕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县委、县政府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中心工作，坚持以人民为中心，全过程推进政务公开，积极回应社会关切，政务公开工作取得新的成效。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auto"/>
          <w:spacing w:val="0"/>
          <w:sz w:val="32"/>
          <w:szCs w:val="32"/>
          <w:shd w:val="clear" w:fill="FFFFFF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eastAsia="zh-CN"/>
        </w:rPr>
        <w:t>仰山乡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在政府信息公开平台公开工作动态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323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条，政策文件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eastAsia="zh-CN"/>
        </w:rPr>
        <w:t>行政执法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条，概况信息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eastAsia="zh-CN"/>
        </w:rPr>
        <w:t>人事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条，解读回应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36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eastAsia="zh-CN"/>
        </w:rPr>
        <w:t>，内容涵盖乡疫情防控、扫黑除恶、领导干部分工、垃圾分类、防火护林、环境发展、财政预算结算等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auto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依照《条例》的规定，202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年，我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开展了依申请公开受理工作，共收到依申请件0件。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auto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为进一步做好政府信息管理，我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建立了规范性文件管理及公开标准，统一登记、统一编号、统一印发，对与群众利益密切相关的工作，经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eastAsia="zh-CN"/>
        </w:rPr>
        <w:t>党政办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审核处理后进行信息公开，对群众难理解的政策文件，及时上传政策解读，让群众即时了解各类政策，增强参与感。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auto"/>
          <w:spacing w:val="0"/>
          <w:sz w:val="32"/>
          <w:szCs w:val="32"/>
          <w:shd w:val="clear" w:fill="FFFFFF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按照上级部门的规范要求，我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及时公开各类信息，维护好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eastAsia="zh-CN"/>
        </w:rPr>
        <w:t>仰山乡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政务公开平台的日常运营。此外在我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便民服务中心设立了线下政务公开专区和群众意见箱，方便群众线下查看政策文件和收集群众意见建议。开展多渠道公开，增强工作透明度。在便民服务中心专门悬挂了群众《办事指南》，方便群众办事。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auto"/>
          <w:spacing w:val="0"/>
          <w:sz w:val="32"/>
          <w:szCs w:val="32"/>
          <w:shd w:val="clear" w:fill="FFFFFF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切实履行法定职责，指导协调推进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我乡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政务公开工作，提升政府工作透明度，推动新形势下“五型政府”建设不断走深走实。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开展政务公开工作培训，不断提升政务公开业务能力。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0" w:type="auto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6"/>
        <w:gridCol w:w="1627"/>
        <w:gridCol w:w="2616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9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16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本年制发件数</w:t>
            </w:r>
          </w:p>
        </w:tc>
        <w:tc>
          <w:tcPr>
            <w:tcW w:w="26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7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</w:trPr>
        <w:tc>
          <w:tcPr>
            <w:tcW w:w="19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7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2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规范性文件</w:t>
            </w:r>
          </w:p>
        </w:tc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9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69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69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9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69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69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69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9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69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9" w:hRule="atLeast"/>
        </w:trPr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69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0" w:type="auto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1281"/>
        <w:gridCol w:w="1552"/>
        <w:gridCol w:w="691"/>
        <w:gridCol w:w="674"/>
        <w:gridCol w:w="708"/>
        <w:gridCol w:w="826"/>
        <w:gridCol w:w="826"/>
        <w:gridCol w:w="710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37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14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37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7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37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商业企业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科研机构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3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3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9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28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3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5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3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8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8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3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3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5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7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</w:trPr>
        <w:tc>
          <w:tcPr>
            <w:tcW w:w="3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10"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 </w:t>
      </w:r>
    </w:p>
    <w:tbl>
      <w:tblPr>
        <w:tblStyle w:val="3"/>
        <w:tblW w:w="0" w:type="auto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59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结果维护</w:t>
            </w:r>
          </w:p>
        </w:tc>
        <w:tc>
          <w:tcPr>
            <w:tcW w:w="5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结果纠正</w:t>
            </w:r>
          </w:p>
        </w:tc>
        <w:tc>
          <w:tcPr>
            <w:tcW w:w="5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其他结果</w:t>
            </w:r>
          </w:p>
        </w:tc>
        <w:tc>
          <w:tcPr>
            <w:tcW w:w="5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尚未审结</w:t>
            </w:r>
          </w:p>
        </w:tc>
        <w:tc>
          <w:tcPr>
            <w:tcW w:w="5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29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29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5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结果维护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结果纠正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其他结果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尚未审结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结果维护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结果纠正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其他结果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尚未审结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32"/>
                <w:szCs w:val="32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  <w:t>五、存在的主要问题和改进情况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年，全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政府信息公开工作取得一定成效，但还存在一些问题和不足，主要是：惠企便民领域信息公开的深度有待进一步拓展，政策精准解读的到达率有待进一步提升。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年，将着力做好以下三个方面工作：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一是持续深化政策解读工作。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出台面向企业和群众的主动公开政策文件，全面开展政策解读，丰富解读形式，拓展解读平台，提高解读质量和到达率。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二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是加大政务公开平台监管力度。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加强政府系统政务新媒体建设管理，集中整治“指尖上的形式主义”，完善政务公开专区功能。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fill="FFFFFF"/>
        </w:rPr>
        <w:t>无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N2IzM2E4ZGJmODIxZjFkMzVkMzZiNWYyNjU0ZTAifQ=="/>
  </w:docVars>
  <w:rsids>
    <w:rsidRoot w:val="6C80165B"/>
    <w:rsid w:val="070640EF"/>
    <w:rsid w:val="10FB6FC5"/>
    <w:rsid w:val="11E6228E"/>
    <w:rsid w:val="1C220782"/>
    <w:rsid w:val="22B73817"/>
    <w:rsid w:val="2483022C"/>
    <w:rsid w:val="2F6A44C2"/>
    <w:rsid w:val="323B2146"/>
    <w:rsid w:val="3FC03C8B"/>
    <w:rsid w:val="43BE6733"/>
    <w:rsid w:val="452D591E"/>
    <w:rsid w:val="55E53422"/>
    <w:rsid w:val="6C80165B"/>
    <w:rsid w:val="7E1F77F3"/>
    <w:rsid w:val="7F2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2023-12-21T07:33:00Z</dcterms:created>
  <dc:creator>xxxibgdrgn</dc:creator>
  <cp:lastModifiedBy>桁南</cp:lastModifiedBy>
  <dcterms:modified xsi:type="dcterms:W3CDTF">2024-01-05T02:23:04Z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F197A3A5FC4B4F47A7BCFE301C658A9B_13</vt:lpwstr>
  </property>
</Properties>
</file>