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lang w:val="en-US" w:eastAsia="zh-CN"/>
        </w:rPr>
      </w:pPr>
    </w:p>
    <w:p>
      <w:pPr>
        <w:rPr>
          <w:rFonts w:hint="default" w:ascii="Times New Roman" w:hAnsi="Times New Roman" w:eastAsia="宋体" w:cs="Times New Roman"/>
          <w:color w:val="auto"/>
          <w:sz w:val="36"/>
          <w:szCs w:val="36"/>
        </w:rPr>
      </w:pPr>
    </w:p>
    <w:p>
      <w:pPr>
        <w:rPr>
          <w:rFonts w:hint="default" w:ascii="Times New Roman" w:hAnsi="Times New Roman" w:eastAsia="宋体" w:cs="Times New Roman"/>
          <w:color w:val="auto"/>
          <w:sz w:val="36"/>
          <w:szCs w:val="36"/>
        </w:rPr>
      </w:pPr>
    </w:p>
    <w:p>
      <w:pPr>
        <w:rPr>
          <w:rFonts w:hint="default" w:ascii="Times New Roman" w:hAnsi="Times New Roman" w:eastAsia="宋体" w:cs="Times New Roman"/>
          <w:color w:val="auto"/>
          <w:sz w:val="36"/>
          <w:szCs w:val="36"/>
        </w:rPr>
      </w:pPr>
    </w:p>
    <w:p>
      <w:pPr>
        <w:rPr>
          <w:rFonts w:hint="default" w:ascii="Times New Roman" w:hAnsi="Times New Roman" w:eastAsia="宋体" w:cs="Times New Roman"/>
          <w:color w:val="auto"/>
          <w:sz w:val="36"/>
          <w:szCs w:val="36"/>
        </w:rPr>
      </w:pPr>
    </w:p>
    <w:p>
      <w:pPr>
        <w:adjustRightInd w:val="0"/>
        <w:snapToGrid w:val="0"/>
        <w:jc w:val="center"/>
        <w:rPr>
          <w:rFonts w:hint="default" w:ascii="Times New Roman" w:hAnsi="Times New Roman" w:eastAsia="宋体" w:cs="Times New Roman"/>
          <w:bCs/>
          <w:color w:val="auto"/>
          <w:sz w:val="72"/>
          <w:szCs w:val="72"/>
        </w:rPr>
      </w:pPr>
      <w:r>
        <w:rPr>
          <w:rFonts w:hint="default" w:ascii="Times New Roman" w:hAnsi="Times New Roman" w:eastAsia="宋体" w:cs="Times New Roman"/>
          <w:bCs/>
          <w:color w:val="auto"/>
          <w:sz w:val="72"/>
          <w:szCs w:val="72"/>
        </w:rPr>
        <w:t>建设项目环境影响报告表</w:t>
      </w:r>
    </w:p>
    <w:p>
      <w:pPr>
        <w:adjustRightInd w:val="0"/>
        <w:snapToGrid w:val="0"/>
        <w:spacing w:before="192" w:beforeLines="80"/>
        <w:jc w:val="center"/>
        <w:rPr>
          <w:rFonts w:hint="eastAsia" w:ascii="Times New Roman" w:hAnsi="Times New Roman" w:eastAsia="宋体" w:cs="Times New Roman"/>
          <w:bCs/>
          <w:color w:val="auto"/>
          <w:sz w:val="48"/>
          <w:szCs w:val="48"/>
          <w:lang w:eastAsia="zh-CN"/>
        </w:rPr>
      </w:pPr>
      <w:r>
        <w:rPr>
          <w:rFonts w:hint="default" w:ascii="Times New Roman" w:hAnsi="Times New Roman" w:eastAsia="宋体" w:cs="Times New Roman"/>
          <w:bCs/>
          <w:color w:val="auto"/>
          <w:sz w:val="48"/>
          <w:szCs w:val="48"/>
        </w:rPr>
        <w:t>（污染影响类）</w:t>
      </w:r>
    </w:p>
    <w:p>
      <w:pPr>
        <w:ind w:firstLine="1040"/>
        <w:rPr>
          <w:rFonts w:hint="default" w:ascii="Times New Roman" w:hAnsi="Times New Roman" w:eastAsia="宋体" w:cs="Times New Roman"/>
          <w:color w:val="auto"/>
          <w:sz w:val="44"/>
          <w:szCs w:val="44"/>
        </w:rPr>
      </w:pPr>
    </w:p>
    <w:p>
      <w:pPr>
        <w:pStyle w:val="77"/>
        <w:rPr>
          <w:rFonts w:hint="default"/>
          <w:color w:val="auto"/>
        </w:rPr>
      </w:pPr>
    </w:p>
    <w:p>
      <w:pPr>
        <w:ind w:firstLine="1040"/>
        <w:rPr>
          <w:rFonts w:hint="default" w:ascii="Times New Roman" w:hAnsi="Times New Roman" w:eastAsia="宋体" w:cs="Times New Roman"/>
          <w:color w:val="auto"/>
          <w:sz w:val="44"/>
          <w:szCs w:val="44"/>
        </w:rPr>
      </w:pPr>
    </w:p>
    <w:p>
      <w:pPr>
        <w:ind w:firstLine="1040"/>
        <w:rPr>
          <w:rFonts w:hint="default" w:ascii="Times New Roman" w:hAnsi="Times New Roman" w:eastAsia="宋体" w:cs="Times New Roman"/>
          <w:color w:val="auto"/>
          <w:sz w:val="44"/>
          <w:szCs w:val="44"/>
        </w:rPr>
      </w:pPr>
    </w:p>
    <w:p>
      <w:pPr>
        <w:spacing w:line="360" w:lineRule="auto"/>
        <w:ind w:firstLine="720" w:firstLineChars="200"/>
        <w:rPr>
          <w:rFonts w:hint="eastAsia"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项目名称：</w:t>
      </w:r>
      <w:r>
        <w:rPr>
          <w:rFonts w:hint="eastAsia" w:ascii="Times New Roman" w:hAnsi="Times New Roman" w:eastAsia="宋体" w:cs="Times New Roman"/>
          <w:color w:val="auto"/>
          <w:sz w:val="36"/>
          <w:szCs w:val="36"/>
          <w:u w:val="single"/>
          <w:lang w:val="en-US" w:eastAsia="zh-CN"/>
        </w:rPr>
        <w:t>中泽矿业公司奉新县</w:t>
      </w:r>
      <w:r>
        <w:rPr>
          <w:rFonts w:hint="default" w:ascii="Times New Roman" w:hAnsi="Times New Roman" w:eastAsia="宋体" w:cs="Times New Roman"/>
          <w:color w:val="auto"/>
          <w:sz w:val="36"/>
          <w:szCs w:val="36"/>
          <w:u w:val="single"/>
          <w:lang w:val="en-US" w:eastAsia="zh-CN"/>
        </w:rPr>
        <w:t>氟石膏</w:t>
      </w:r>
      <w:r>
        <w:rPr>
          <w:rFonts w:hint="eastAsia" w:ascii="Times New Roman" w:hAnsi="Times New Roman" w:eastAsia="宋体" w:cs="Times New Roman"/>
          <w:color w:val="auto"/>
          <w:sz w:val="36"/>
          <w:szCs w:val="36"/>
          <w:u w:val="single"/>
          <w:lang w:val="en-US" w:eastAsia="zh-CN"/>
        </w:rPr>
        <w:t>和</w:t>
      </w:r>
      <w:r>
        <w:rPr>
          <w:rFonts w:hint="default" w:ascii="Times New Roman" w:hAnsi="Times New Roman" w:eastAsia="宋体" w:cs="Times New Roman"/>
          <w:color w:val="auto"/>
          <w:sz w:val="36"/>
          <w:szCs w:val="36"/>
          <w:u w:val="single"/>
          <w:lang w:val="en-US" w:eastAsia="zh-CN"/>
        </w:rPr>
        <w:t>天然石膏</w:t>
      </w:r>
      <w:r>
        <w:rPr>
          <w:rFonts w:hint="eastAsia" w:ascii="Times New Roman" w:hAnsi="Times New Roman" w:eastAsia="宋体" w:cs="Times New Roman"/>
          <w:color w:val="auto"/>
          <w:sz w:val="36"/>
          <w:szCs w:val="36"/>
          <w:u w:val="single"/>
          <w:lang w:val="en-US" w:eastAsia="zh-CN"/>
        </w:rPr>
        <w:t>及</w:t>
      </w:r>
      <w:r>
        <w:rPr>
          <w:rFonts w:hint="default" w:ascii="Times New Roman" w:hAnsi="Times New Roman" w:eastAsia="宋体" w:cs="Times New Roman"/>
          <w:color w:val="auto"/>
          <w:sz w:val="36"/>
          <w:szCs w:val="36"/>
          <w:u w:val="single"/>
          <w:lang w:val="en-US" w:eastAsia="zh-CN"/>
        </w:rPr>
        <w:t>石灰</w:t>
      </w:r>
      <w:r>
        <w:rPr>
          <w:rFonts w:hint="eastAsia" w:ascii="Times New Roman" w:hAnsi="Times New Roman" w:eastAsia="宋体" w:cs="Times New Roman"/>
          <w:color w:val="auto"/>
          <w:sz w:val="36"/>
          <w:szCs w:val="36"/>
          <w:u w:val="single"/>
          <w:lang w:val="en-US" w:eastAsia="zh-CN"/>
        </w:rPr>
        <w:t>石</w:t>
      </w:r>
      <w:r>
        <w:rPr>
          <w:rFonts w:hint="default" w:ascii="Times New Roman" w:hAnsi="Times New Roman" w:eastAsia="宋体" w:cs="Times New Roman"/>
          <w:color w:val="auto"/>
          <w:sz w:val="36"/>
          <w:szCs w:val="36"/>
          <w:u w:val="single"/>
          <w:lang w:val="en-US" w:eastAsia="zh-CN"/>
        </w:rPr>
        <w:t>粉磨加工项目</w:t>
      </w:r>
    </w:p>
    <w:p>
      <w:pPr>
        <w:adjustRightInd w:val="0"/>
        <w:snapToGrid w:val="0"/>
        <w:spacing w:line="360" w:lineRule="auto"/>
        <w:rPr>
          <w:rFonts w:hint="eastAsia" w:ascii="Times New Roman" w:hAnsi="Times New Roman" w:eastAsia="宋体" w:cs="Times New Roman"/>
          <w:color w:val="auto"/>
          <w:sz w:val="36"/>
          <w:szCs w:val="36"/>
          <w:u w:val="single"/>
          <w:lang w:eastAsia="zh-CN"/>
        </w:rPr>
      </w:pPr>
      <w:r>
        <w:rPr>
          <w:rFonts w:hint="default" w:ascii="Times New Roman" w:hAnsi="Times New Roman" w:eastAsia="宋体" w:cs="Times New Roman"/>
          <w:color w:val="auto"/>
          <w:sz w:val="36"/>
          <w:szCs w:val="36"/>
        </w:rPr>
        <w:t>建设单位（盖章）：</w:t>
      </w:r>
      <w:r>
        <w:rPr>
          <w:rFonts w:hint="eastAsia" w:ascii="Times New Roman" w:hAnsi="Times New Roman" w:eastAsia="宋体" w:cs="Times New Roman"/>
          <w:color w:val="auto"/>
          <w:sz w:val="36"/>
          <w:szCs w:val="36"/>
          <w:u w:val="single"/>
          <w:lang w:val="en-US" w:eastAsia="zh-CN"/>
        </w:rPr>
        <w:t>江西省中泽矿业有限公司</w:t>
      </w:r>
    </w:p>
    <w:p>
      <w:pPr>
        <w:adjustRightInd w:val="0"/>
        <w:snapToGrid w:val="0"/>
        <w:spacing w:line="360" w:lineRule="auto"/>
        <w:rPr>
          <w:rFonts w:hint="eastAsia" w:ascii="Times New Roman" w:hAnsi="Times New Roman" w:eastAsia="宋体" w:cs="Times New Roman"/>
          <w:b/>
          <w:bCs/>
          <w:color w:val="auto"/>
          <w:sz w:val="36"/>
          <w:szCs w:val="36"/>
          <w:u w:val="single"/>
          <w:lang w:eastAsia="zh-CN"/>
        </w:rPr>
      </w:pPr>
      <w:r>
        <w:rPr>
          <w:rFonts w:hint="default" w:ascii="Times New Roman" w:hAnsi="Times New Roman" w:eastAsia="宋体" w:cs="Times New Roman"/>
          <w:color w:val="auto"/>
          <w:sz w:val="36"/>
          <w:szCs w:val="36"/>
        </w:rPr>
        <w:t>编制日期：</w:t>
      </w:r>
      <w:r>
        <w:rPr>
          <w:rFonts w:hint="default" w:ascii="Times New Roman" w:hAnsi="Times New Roman" w:eastAsia="宋体" w:cs="Times New Roman"/>
          <w:color w:val="auto"/>
          <w:sz w:val="36"/>
          <w:szCs w:val="36"/>
          <w:u w:val="single"/>
        </w:rPr>
        <w:t>202</w:t>
      </w:r>
      <w:r>
        <w:rPr>
          <w:rFonts w:hint="eastAsia" w:ascii="Times New Roman" w:hAnsi="Times New Roman" w:eastAsia="宋体" w:cs="Times New Roman"/>
          <w:color w:val="auto"/>
          <w:sz w:val="36"/>
          <w:szCs w:val="36"/>
          <w:u w:val="single"/>
          <w:lang w:val="en-US" w:eastAsia="zh-CN"/>
        </w:rPr>
        <w:t>4</w:t>
      </w:r>
      <w:r>
        <w:rPr>
          <w:rFonts w:hint="default" w:ascii="Times New Roman" w:hAnsi="Times New Roman" w:eastAsia="宋体" w:cs="Times New Roman"/>
          <w:color w:val="auto"/>
          <w:sz w:val="36"/>
          <w:szCs w:val="36"/>
          <w:u w:val="single"/>
        </w:rPr>
        <w:t>年</w:t>
      </w:r>
      <w:r>
        <w:rPr>
          <w:rFonts w:hint="eastAsia" w:ascii="Times New Roman" w:hAnsi="Times New Roman" w:eastAsia="宋体" w:cs="Times New Roman"/>
          <w:color w:val="auto"/>
          <w:sz w:val="36"/>
          <w:szCs w:val="36"/>
          <w:u w:val="single"/>
          <w:lang w:val="en-US" w:eastAsia="zh-CN"/>
        </w:rPr>
        <w:t>3</w:t>
      </w:r>
      <w:r>
        <w:rPr>
          <w:rFonts w:hint="default" w:ascii="Times New Roman" w:hAnsi="Times New Roman" w:eastAsia="宋体" w:cs="Times New Roman"/>
          <w:color w:val="auto"/>
          <w:sz w:val="36"/>
          <w:szCs w:val="36"/>
          <w:u w:val="single"/>
        </w:rPr>
        <w:t>月</w:t>
      </w:r>
    </w:p>
    <w:p>
      <w:pPr>
        <w:pStyle w:val="427"/>
        <w:ind w:firstLine="480"/>
        <w:rPr>
          <w:rFonts w:hint="default" w:ascii="Times New Roman" w:hAnsi="Times New Roman" w:eastAsia="宋体" w:cs="Times New Roman"/>
          <w:color w:val="auto"/>
        </w:rPr>
      </w:pPr>
    </w:p>
    <w:p>
      <w:pPr>
        <w:pStyle w:val="427"/>
        <w:ind w:firstLine="480"/>
        <w:rPr>
          <w:rFonts w:hint="default" w:ascii="Times New Roman" w:hAnsi="Times New Roman" w:eastAsia="宋体" w:cs="Times New Roman"/>
          <w:color w:val="auto"/>
        </w:rPr>
      </w:pPr>
    </w:p>
    <w:p>
      <w:pPr>
        <w:pStyle w:val="427"/>
        <w:ind w:firstLine="480"/>
        <w:rPr>
          <w:rFonts w:hint="default" w:ascii="Times New Roman" w:hAnsi="Times New Roman" w:eastAsia="宋体" w:cs="Times New Roman"/>
          <w:color w:val="auto"/>
        </w:rPr>
      </w:pPr>
    </w:p>
    <w:p>
      <w:pPr>
        <w:pStyle w:val="427"/>
        <w:ind w:firstLine="480"/>
        <w:rPr>
          <w:rFonts w:hint="default" w:ascii="Times New Roman" w:hAnsi="Times New Roman" w:eastAsia="宋体" w:cs="Times New Roman"/>
          <w:color w:val="auto"/>
        </w:rPr>
      </w:pPr>
    </w:p>
    <w:p>
      <w:pPr>
        <w:pStyle w:val="427"/>
        <w:ind w:firstLine="480"/>
        <w:rPr>
          <w:rFonts w:hint="default" w:ascii="Times New Roman" w:hAnsi="Times New Roman" w:eastAsia="宋体" w:cs="Times New Roman"/>
          <w:color w:val="auto"/>
        </w:rPr>
      </w:pPr>
    </w:p>
    <w:p>
      <w:pPr>
        <w:pStyle w:val="427"/>
        <w:ind w:firstLine="480"/>
        <w:rPr>
          <w:rFonts w:hint="default" w:ascii="Times New Roman" w:hAnsi="Times New Roman" w:eastAsia="宋体" w:cs="Times New Roman"/>
          <w:color w:val="auto"/>
        </w:rPr>
      </w:pPr>
    </w:p>
    <w:p>
      <w:pPr>
        <w:pStyle w:val="427"/>
        <w:ind w:firstLine="480"/>
        <w:rPr>
          <w:rFonts w:hint="default" w:ascii="Times New Roman" w:hAnsi="Times New Roman" w:eastAsia="宋体" w:cs="Times New Roman"/>
          <w:color w:val="auto"/>
        </w:rPr>
      </w:pPr>
    </w:p>
    <w:p>
      <w:pPr>
        <w:pStyle w:val="427"/>
        <w:ind w:firstLine="480"/>
        <w:rPr>
          <w:rFonts w:hint="default" w:ascii="Times New Roman" w:hAnsi="Times New Roman" w:eastAsia="宋体" w:cs="Times New Roman"/>
          <w:color w:val="auto"/>
        </w:rPr>
      </w:pPr>
    </w:p>
    <w:p>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pPr>
        <w:widowControl/>
        <w:spacing w:line="288" w:lineRule="auto"/>
        <w:jc w:val="left"/>
        <w:rPr>
          <w:rFonts w:hint="default" w:ascii="Times New Roman" w:hAnsi="Times New Roman" w:eastAsia="宋体" w:cs="Times New Roman"/>
          <w:color w:val="auto"/>
          <w:sz w:val="36"/>
          <w:szCs w:val="36"/>
        </w:rPr>
        <w:sectPr>
          <w:footerReference r:id="rId4" w:type="first"/>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sectPr>
      </w:pPr>
    </w:p>
    <w:sdt>
      <w:sdtPr>
        <w:rPr>
          <w:rFonts w:hint="default" w:ascii="Times New Roman" w:hAnsi="Times New Roman" w:eastAsia="宋体" w:cs="Times New Roman"/>
          <w:color w:val="FF0000"/>
          <w:kern w:val="2"/>
          <w:sz w:val="21"/>
          <w:szCs w:val="22"/>
          <w:lang w:val="zh-CN"/>
        </w:rPr>
        <w:id w:val="-1746489292"/>
        <w:docPartObj>
          <w:docPartGallery w:val="Table of Contents"/>
          <w:docPartUnique/>
        </w:docPartObj>
      </w:sdtPr>
      <w:sdtEndPr>
        <w:rPr>
          <w:rFonts w:hint="default" w:ascii="Times New Roman" w:hAnsi="Times New Roman" w:eastAsia="宋体" w:cs="Times New Roman"/>
          <w:b/>
          <w:bCs/>
          <w:color w:val="FF0000"/>
          <w:kern w:val="2"/>
          <w:sz w:val="21"/>
          <w:szCs w:val="22"/>
          <w:lang w:val="zh-CN"/>
        </w:rPr>
      </w:sdtEndPr>
      <w:sdtContent>
        <w:p>
          <w:pPr>
            <w:pStyle w:val="603"/>
            <w:jc w:val="center"/>
            <w:rPr>
              <w:rFonts w:hint="default" w:ascii="Times New Roman" w:hAnsi="Times New Roman" w:eastAsia="宋体" w:cs="Times New Roman"/>
              <w:color w:val="auto"/>
              <w:sz w:val="36"/>
              <w:szCs w:val="36"/>
              <w:lang w:val="zh-CN"/>
            </w:rPr>
          </w:pPr>
          <w:r>
            <w:rPr>
              <w:rFonts w:hint="default" w:ascii="Times New Roman" w:hAnsi="Times New Roman" w:eastAsia="宋体" w:cs="Times New Roman"/>
              <w:color w:val="auto"/>
              <w:sz w:val="36"/>
              <w:szCs w:val="36"/>
              <w:lang w:val="zh-CN"/>
            </w:rPr>
            <w:t>目录</w:t>
          </w:r>
        </w:p>
        <w:p>
          <w:pPr>
            <w:rPr>
              <w:rFonts w:hint="default" w:ascii="Times New Roman" w:hAnsi="Times New Roman" w:eastAsia="宋体" w:cs="Times New Roman"/>
              <w:color w:val="000000" w:themeColor="text1"/>
              <w14:textFill>
                <w14:solidFill>
                  <w14:schemeClr w14:val="tx1"/>
                </w14:solidFill>
              </w14:textFill>
            </w:rPr>
          </w:pPr>
        </w:p>
        <w:p>
          <w:pPr>
            <w:pStyle w:val="42"/>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TOC \o "1-3" \h \z \u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_Toc7084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14:textFill>
                <w14:solidFill>
                  <w14:schemeClr w14:val="tx1"/>
                </w14:solidFill>
              </w14:textFill>
            </w:rPr>
            <w:t>一、建设项目基本情况</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_Toc7084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pPr>
            <w:pStyle w:val="42"/>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lang w:val="zh-CN"/>
              <w14:textFill>
                <w14:solidFill>
                  <w14:schemeClr w14:val="tx1"/>
                </w14:solidFill>
              </w14:textFill>
            </w:rPr>
            <w:instrText xml:space="preserve"> HYPERLINK \l _Toc17182 </w:instrText>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二、建设项目工程分析</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_Toc17182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17</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end"/>
          </w:r>
        </w:p>
        <w:p>
          <w:pPr>
            <w:pStyle w:val="42"/>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lang w:val="zh-CN"/>
              <w14:textFill>
                <w14:solidFill>
                  <w14:schemeClr w14:val="tx1"/>
                </w14:solidFill>
              </w14:textFill>
            </w:rPr>
            <w:instrText xml:space="preserve"> HYPERLINK \l _Toc13560 </w:instrText>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三、区域环境质量现状、环境保护目标及评价标准</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_Toc13560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29</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end"/>
          </w:r>
        </w:p>
        <w:p>
          <w:pPr>
            <w:pStyle w:val="42"/>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lang w:val="zh-CN"/>
              <w14:textFill>
                <w14:solidFill>
                  <w14:schemeClr w14:val="tx1"/>
                </w14:solidFill>
              </w14:textFill>
            </w:rPr>
            <w:instrText xml:space="preserve"> HYPERLINK \l _Toc19013 </w:instrText>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四、主要环境影响和保护措施</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_Toc19013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35</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end"/>
          </w:r>
        </w:p>
        <w:p>
          <w:pPr>
            <w:pStyle w:val="42"/>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lang w:val="zh-CN"/>
              <w14:textFill>
                <w14:solidFill>
                  <w14:schemeClr w14:val="tx1"/>
                </w14:solidFill>
              </w14:textFill>
            </w:rPr>
            <w:instrText xml:space="preserve"> HYPERLINK \l _Toc8066 </w:instrText>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五、环境保护措施监督检查清单</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_Toc8066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72</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end"/>
          </w:r>
        </w:p>
        <w:p>
          <w:pPr>
            <w:pStyle w:val="42"/>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lang w:val="zh-CN"/>
              <w14:textFill>
                <w14:solidFill>
                  <w14:schemeClr w14:val="tx1"/>
                </w14:solidFill>
              </w14:textFill>
            </w:rPr>
            <w:instrText xml:space="preserve"> HYPERLINK \l _Toc8017 </w:instrText>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六、结论</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_Toc8017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74</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end"/>
          </w:r>
        </w:p>
        <w:p>
          <w:pPr>
            <w:pStyle w:val="42"/>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lang w:val="zh-CN"/>
              <w14:textFill>
                <w14:solidFill>
                  <w14:schemeClr w14:val="tx1"/>
                </w14:solidFill>
              </w14:textFill>
            </w:rPr>
            <w:instrText xml:space="preserve"> HYPERLINK \l _Toc9342 </w:instrText>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建设项目污染物排放量汇总表</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_Toc9342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75</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color w:val="auto"/>
              <w:sz w:val="30"/>
              <w:szCs w:val="30"/>
            </w:rPr>
          </w:pPr>
          <w:r>
            <w:rPr>
              <w:rFonts w:hint="default" w:ascii="Times New Roman" w:hAnsi="Times New Roman" w:eastAsia="宋体" w:cs="Times New Roman"/>
              <w:bCs/>
              <w:color w:val="000000" w:themeColor="text1"/>
              <w:sz w:val="24"/>
              <w:szCs w:val="24"/>
              <w:lang w:val="zh-CN"/>
              <w14:textFill>
                <w14:solidFill>
                  <w14:schemeClr w14:val="tx1"/>
                </w14:solidFill>
              </w14:textFill>
            </w:rPr>
            <w:fldChar w:fldCharType="end"/>
          </w:r>
          <w:bookmarkStart w:id="0" w:name="_Toc7084"/>
        </w:p>
      </w:sdtContent>
    </w:sdt>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rPr>
          <w:rFonts w:hint="default" w:ascii="Times New Roman" w:hAnsi="Times New Roman" w:eastAsia="宋体" w:cs="Times New Roman"/>
          <w:b w:val="0"/>
          <w:bCs/>
          <w:color w:val="auto"/>
          <w:sz w:val="30"/>
          <w:szCs w:val="30"/>
        </w:rPr>
      </w:pPr>
    </w:p>
    <w:p>
      <w:pPr>
        <w:pStyle w:val="34"/>
        <w:rPr>
          <w:rFonts w:hint="default"/>
        </w:rPr>
      </w:pPr>
    </w:p>
    <w:p>
      <w:pPr>
        <w:pStyle w:val="2"/>
        <w:spacing w:line="360" w:lineRule="auto"/>
        <w:jc w:val="center"/>
        <w:rPr>
          <w:rFonts w:hint="default" w:ascii="Times New Roman" w:hAnsi="Times New Roman" w:eastAsia="宋体" w:cs="Times New Roman"/>
          <w:b w:val="0"/>
          <w:bCs/>
          <w:color w:val="auto"/>
          <w:sz w:val="30"/>
          <w:szCs w:val="30"/>
        </w:rPr>
      </w:pPr>
      <w:r>
        <w:rPr>
          <w:rFonts w:hint="default" w:ascii="Times New Roman" w:hAnsi="Times New Roman" w:eastAsia="宋体" w:cs="Times New Roman"/>
          <w:b w:val="0"/>
          <w:bCs/>
          <w:color w:val="auto"/>
          <w:sz w:val="30"/>
          <w:szCs w:val="30"/>
        </w:rPr>
        <w:t>一、建设项目基本情况</w:t>
      </w:r>
      <w:bookmarkEnd w:id="0"/>
    </w:p>
    <w:tbl>
      <w:tblPr>
        <w:tblStyle w:val="57"/>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85"/>
        <w:gridCol w:w="2350"/>
        <w:gridCol w:w="2165"/>
        <w:gridCol w:w="27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5"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7306" w:type="dxa"/>
            <w:gridSpan w:val="3"/>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中泽矿业公司奉新县</w:t>
            </w:r>
            <w:r>
              <w:rPr>
                <w:rFonts w:hint="default" w:ascii="Times New Roman" w:hAnsi="Times New Roman" w:eastAsia="宋体" w:cs="Times New Roman"/>
                <w:color w:val="auto"/>
                <w:sz w:val="24"/>
                <w:szCs w:val="24"/>
                <w:lang w:val="en-US" w:eastAsia="zh-CN"/>
              </w:rPr>
              <w:t>氟石膏</w:t>
            </w:r>
            <w:r>
              <w:rPr>
                <w:rFonts w:hint="eastAsia"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lang w:val="en-US" w:eastAsia="zh-CN"/>
              </w:rPr>
              <w:t>天然石膏</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石灰</w:t>
            </w:r>
            <w:r>
              <w:rPr>
                <w:rFonts w:hint="eastAsia" w:ascii="Times New Roman" w:hAnsi="Times New Roman" w:eastAsia="宋体" w:cs="Times New Roman"/>
                <w:color w:val="auto"/>
                <w:sz w:val="24"/>
                <w:szCs w:val="24"/>
                <w:lang w:val="en-US" w:eastAsia="zh-CN"/>
              </w:rPr>
              <w:t>石</w:t>
            </w:r>
            <w:r>
              <w:rPr>
                <w:rFonts w:hint="default" w:ascii="Times New Roman" w:hAnsi="Times New Roman" w:eastAsia="宋体" w:cs="Times New Roman"/>
                <w:color w:val="auto"/>
                <w:sz w:val="24"/>
                <w:szCs w:val="24"/>
                <w:lang w:val="en-US" w:eastAsia="zh-CN"/>
              </w:rPr>
              <w:t>粉磨加工项目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5"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7306"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2401-360921-04-01-398392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5"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2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林圣平</w:t>
            </w:r>
          </w:p>
        </w:tc>
        <w:tc>
          <w:tcPr>
            <w:tcW w:w="21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2791"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13907997668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5"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7306"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宜春市奉新县高新技术产业园区广源路618号陆丰管业9号厂房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5"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地理坐标</w:t>
            </w:r>
          </w:p>
        </w:tc>
        <w:tc>
          <w:tcPr>
            <w:tcW w:w="7306" w:type="dxa"/>
            <w:gridSpan w:val="3"/>
            <w:tcBorders>
              <w:top w:val="single" w:color="auto" w:sz="4" w:space="0"/>
              <w:left w:val="single" w:color="auto" w:sz="4" w:space="0"/>
              <w:bottom w:val="single" w:color="auto" w:sz="4" w:space="0"/>
              <w:right w:val="single" w:color="auto" w:sz="8" w:space="0"/>
            </w:tcBorders>
            <w:vAlign w:val="center"/>
          </w:tcPr>
          <w:p>
            <w:pPr>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lang w:val="en-US" w:eastAsia="zh-CN"/>
              </w:rPr>
              <w:t>（E115°</w:t>
            </w:r>
            <w:r>
              <w:rPr>
                <w:rFonts w:hint="eastAsia"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5.048</w:t>
            </w:r>
            <w:r>
              <w:rPr>
                <w:rFonts w:hint="default" w:ascii="Times New Roman" w:hAnsi="Times New Roman" w:eastAsia="宋体" w:cs="Times New Roman"/>
                <w:color w:val="auto"/>
                <w:sz w:val="24"/>
                <w:szCs w:val="24"/>
                <w:lang w:val="en-US" w:eastAsia="zh-CN"/>
              </w:rPr>
              <w:t>″，N28°</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32.749</w:t>
            </w: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85"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3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C</w:t>
            </w:r>
            <w:r>
              <w:rPr>
                <w:rFonts w:hint="eastAsia" w:ascii="Times New Roman" w:hAnsi="Times New Roman" w:eastAsia="宋体" w:cs="Times New Roman"/>
                <w:color w:val="auto"/>
                <w:sz w:val="24"/>
                <w:szCs w:val="24"/>
                <w:lang w:val="en-US" w:eastAsia="zh-CN"/>
              </w:rPr>
              <w:t>3099其他非金属矿物制品制造</w:t>
            </w:r>
          </w:p>
        </w:tc>
        <w:tc>
          <w:tcPr>
            <w:tcW w:w="21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rPr>
            </w:pPr>
            <w:bookmarkStart w:id="1" w:name="_Hlk49843745"/>
            <w:r>
              <w:rPr>
                <w:rFonts w:hint="default" w:ascii="Times New Roman" w:hAnsi="Times New Roman" w:eastAsia="宋体" w:cs="Times New Roman"/>
                <w:color w:val="auto"/>
                <w:sz w:val="24"/>
                <w:szCs w:val="24"/>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1"/>
          </w:p>
        </w:tc>
        <w:tc>
          <w:tcPr>
            <w:tcW w:w="2791" w:type="dxa"/>
            <w:tcBorders>
              <w:top w:val="single" w:color="auto" w:sz="4" w:space="0"/>
              <w:left w:val="single" w:color="auto" w:sz="4" w:space="0"/>
              <w:bottom w:val="single" w:color="auto" w:sz="4" w:space="0"/>
              <w:right w:val="single" w:color="auto" w:sz="8" w:space="0"/>
            </w:tcBorders>
            <w:vAlign w:val="center"/>
          </w:tcPr>
          <w:p>
            <w:pPr>
              <w:adjustRightInd w:val="0"/>
              <w:snapToGrid w:val="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二十七、非金属矿物制品业30,60石墨及其他非金属矿物制品制造309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66" w:hRule="atLeast"/>
          <w:jc w:val="center"/>
        </w:trPr>
        <w:tc>
          <w:tcPr>
            <w:tcW w:w="1585"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2350"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☑新建（迁建）</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p>
        </w:tc>
        <w:tc>
          <w:tcPr>
            <w:tcW w:w="21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2791" w:type="dxa"/>
            <w:tcBorders>
              <w:top w:val="single" w:color="auto" w:sz="4" w:space="0"/>
              <w:left w:val="single" w:color="auto" w:sz="4" w:space="0"/>
              <w:bottom w:val="single" w:color="auto" w:sz="4" w:space="0"/>
              <w:right w:val="single" w:color="auto" w:sz="8" w:space="0"/>
            </w:tcBorders>
            <w:vAlign w:val="center"/>
          </w:tcPr>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☑首次申报项目</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w:char="00A8"/>
            </w:r>
            <w:r>
              <w:rPr>
                <w:rFonts w:hint="default" w:ascii="Times New Roman" w:hAnsi="Times New Roman" w:eastAsia="宋体" w:cs="Times New Roman"/>
                <w:color w:val="auto"/>
                <w:sz w:val="24"/>
                <w:szCs w:val="24"/>
              </w:rPr>
              <w:t>不予批准后再次申报项目</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□超五年重新审核项目</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85"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备案）部门</w:t>
            </w:r>
          </w:p>
        </w:tc>
        <w:tc>
          <w:tcPr>
            <w:tcW w:w="2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奉新县发展和改革委员会</w:t>
            </w:r>
          </w:p>
        </w:tc>
        <w:tc>
          <w:tcPr>
            <w:tcW w:w="21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w:t>
            </w:r>
          </w:p>
        </w:tc>
        <w:tc>
          <w:tcPr>
            <w:tcW w:w="2791"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FF000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585"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2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1300</w:t>
            </w:r>
          </w:p>
        </w:tc>
        <w:tc>
          <w:tcPr>
            <w:tcW w:w="216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2791"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5"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2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3.27%</w:t>
            </w:r>
          </w:p>
        </w:tc>
        <w:tc>
          <w:tcPr>
            <w:tcW w:w="216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2791"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85"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23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pPr>
              <w:adjustRightInd w:val="0"/>
              <w:snapToGrid w:val="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□是：</w:t>
            </w:r>
          </w:p>
        </w:tc>
        <w:tc>
          <w:tcPr>
            <w:tcW w:w="216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用地面积（m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2791"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FF0000"/>
                <w:spacing w:val="-6"/>
                <w:sz w:val="24"/>
                <w:szCs w:val="24"/>
                <w:lang w:val="en-US" w:eastAsia="zh-CN"/>
              </w:rPr>
              <w:t>5460</w:t>
            </w:r>
            <w:r>
              <w:rPr>
                <w:rFonts w:hint="default" w:ascii="Times New Roman" w:hAnsi="Times New Roman" w:eastAsia="宋体" w:cs="Times New Roman"/>
                <w:color w:val="FF0000"/>
                <w:spacing w:val="-6"/>
                <w:sz w:val="24"/>
                <w:szCs w:val="24"/>
              </w:rPr>
              <w:t>m</w:t>
            </w:r>
            <w:r>
              <w:rPr>
                <w:rFonts w:hint="default" w:ascii="Times New Roman" w:hAnsi="Times New Roman" w:eastAsia="宋体" w:cs="Times New Roman"/>
                <w:color w:val="FF0000"/>
                <w:spacing w:val="-6"/>
                <w:sz w:val="24"/>
                <w:szCs w:val="24"/>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5" w:hRule="atLeast"/>
          <w:jc w:val="center"/>
        </w:trPr>
        <w:tc>
          <w:tcPr>
            <w:tcW w:w="1585"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7306"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numPr>
                <w:ilvl w:val="0"/>
                <w:numId w:val="2"/>
              </w:numPr>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专项评价设置原则表</w:t>
            </w:r>
          </w:p>
          <w:tbl>
            <w:tblPr>
              <w:tblStyle w:val="57"/>
              <w:tblW w:w="707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63"/>
              <w:gridCol w:w="4075"/>
              <w:gridCol w:w="2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663" w:type="dxa"/>
                  <w:tcBorders>
                    <w:tl2br w:val="nil"/>
                    <w:tr2bl w:val="nil"/>
                  </w:tcBorders>
                  <w:vAlign w:val="center"/>
                </w:tcPr>
                <w:p>
                  <w:pPr>
                    <w:pStyle w:val="606"/>
                    <w:rPr>
                      <w:rFonts w:hint="default" w:ascii="Times New Roman" w:hAnsi="Times New Roman" w:eastAsia="宋体" w:cs="Times New Roman"/>
                      <w:color w:val="auto"/>
                    </w:rPr>
                  </w:pPr>
                  <w:r>
                    <w:rPr>
                      <w:rFonts w:hint="default" w:ascii="Times New Roman" w:hAnsi="Times New Roman" w:eastAsia="宋体" w:cs="Times New Roman"/>
                      <w:color w:val="auto"/>
                    </w:rPr>
                    <w:t>专项评价类别</w:t>
                  </w:r>
                </w:p>
              </w:tc>
              <w:tc>
                <w:tcPr>
                  <w:tcW w:w="4075" w:type="dxa"/>
                  <w:tcBorders>
                    <w:tl2br w:val="nil"/>
                    <w:tr2bl w:val="nil"/>
                  </w:tcBorders>
                  <w:vAlign w:val="center"/>
                </w:tcPr>
                <w:p>
                  <w:pPr>
                    <w:pStyle w:val="606"/>
                    <w:rPr>
                      <w:rFonts w:hint="default" w:ascii="Times New Roman" w:hAnsi="Times New Roman" w:eastAsia="宋体" w:cs="Times New Roman"/>
                      <w:color w:val="auto"/>
                    </w:rPr>
                  </w:pPr>
                  <w:r>
                    <w:rPr>
                      <w:rFonts w:hint="default" w:ascii="Times New Roman" w:hAnsi="Times New Roman" w:eastAsia="宋体" w:cs="Times New Roman"/>
                      <w:color w:val="auto"/>
                    </w:rPr>
                    <w:t>设置原则</w:t>
                  </w:r>
                </w:p>
              </w:tc>
              <w:tc>
                <w:tcPr>
                  <w:tcW w:w="2341" w:type="dxa"/>
                  <w:tcBorders>
                    <w:tl2br w:val="nil"/>
                    <w:tr2bl w:val="nil"/>
                  </w:tcBorders>
                  <w:vAlign w:val="center"/>
                </w:tcPr>
                <w:p>
                  <w:pPr>
                    <w:pStyle w:val="606"/>
                    <w:rPr>
                      <w:rFonts w:hint="default" w:ascii="Times New Roman" w:hAnsi="Times New Roman" w:eastAsia="宋体" w:cs="Times New Roman"/>
                      <w:color w:val="auto"/>
                    </w:rPr>
                  </w:pPr>
                  <w:r>
                    <w:rPr>
                      <w:rFonts w:hint="default" w:ascii="Times New Roman" w:hAnsi="Times New Roman" w:eastAsia="宋体" w:cs="Times New Roman"/>
                      <w:color w:val="auto"/>
                    </w:rPr>
                    <w:t>项目情况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trPr>
              <w:tc>
                <w:tcPr>
                  <w:tcW w:w="663" w:type="dxa"/>
                  <w:tcBorders>
                    <w:tl2br w:val="nil"/>
                    <w:tr2bl w:val="nil"/>
                  </w:tcBorders>
                  <w:vAlign w:val="center"/>
                </w:tcPr>
                <w:p>
                  <w:pPr>
                    <w:pStyle w:val="606"/>
                    <w:rPr>
                      <w:rFonts w:hint="default" w:ascii="Times New Roman" w:hAnsi="Times New Roman" w:eastAsia="宋体" w:cs="Times New Roman"/>
                      <w:color w:val="auto"/>
                    </w:rPr>
                  </w:pPr>
                  <w:r>
                    <w:rPr>
                      <w:rFonts w:hint="default" w:ascii="Times New Roman" w:hAnsi="Times New Roman" w:eastAsia="宋体" w:cs="Times New Roman"/>
                      <w:color w:val="auto"/>
                    </w:rPr>
                    <w:t>大气</w:t>
                  </w:r>
                </w:p>
              </w:tc>
              <w:tc>
                <w:tcPr>
                  <w:tcW w:w="4075" w:type="dxa"/>
                  <w:tcBorders>
                    <w:tl2br w:val="nil"/>
                    <w:tr2bl w:val="nil"/>
                  </w:tcBorders>
                  <w:vAlign w:val="center"/>
                </w:tcPr>
                <w:p>
                  <w:pPr>
                    <w:pStyle w:val="606"/>
                    <w:jc w:val="both"/>
                    <w:rPr>
                      <w:rFonts w:hint="default" w:ascii="Times New Roman" w:hAnsi="Times New Roman" w:eastAsia="宋体" w:cs="Times New Roman"/>
                      <w:color w:val="auto"/>
                    </w:rPr>
                  </w:pPr>
                  <w:r>
                    <w:rPr>
                      <w:rFonts w:hint="default" w:ascii="Times New Roman" w:hAnsi="Times New Roman" w:eastAsia="宋体" w:cs="Times New Roman"/>
                      <w:color w:val="auto"/>
                    </w:rPr>
                    <w:t>排放废气含有有毒有害污染物、二噁英、苯并[a]芘、氯气且厂界外</w:t>
                  </w:r>
                  <w:r>
                    <w:rPr>
                      <w:rFonts w:hint="default" w:ascii="Times New Roman" w:hAnsi="Times New Roman" w:eastAsia="宋体" w:cs="Times New Roman"/>
                      <w:color w:val="auto"/>
                      <w:lang w:val="en-US" w:eastAsia="zh-CN"/>
                    </w:rPr>
                    <w:t>500</w:t>
                  </w:r>
                  <w:r>
                    <w:rPr>
                      <w:rFonts w:hint="default" w:ascii="Times New Roman" w:hAnsi="Times New Roman" w:eastAsia="宋体" w:cs="Times New Roman"/>
                      <w:color w:val="auto"/>
                    </w:rPr>
                    <w:t>米范围内有环境空气保护目标的建设项目</w:t>
                  </w:r>
                </w:p>
              </w:tc>
              <w:tc>
                <w:tcPr>
                  <w:tcW w:w="2341" w:type="dxa"/>
                  <w:tcBorders>
                    <w:tl2br w:val="nil"/>
                    <w:tr2bl w:val="nil"/>
                  </w:tcBorders>
                  <w:vAlign w:val="center"/>
                </w:tcPr>
                <w:p>
                  <w:pPr>
                    <w:pStyle w:val="606"/>
                    <w:jc w:val="center"/>
                    <w:rPr>
                      <w:rFonts w:hint="eastAsia" w:ascii="Times New Roman" w:hAnsi="Times New Roman" w:eastAsia="宋体" w:cs="Times New Roman"/>
                      <w:color w:val="auto"/>
                      <w:lang w:val="en-US" w:eastAsia="zh-CN"/>
                    </w:rPr>
                  </w:pPr>
                  <w:r>
                    <w:rPr>
                      <w:rFonts w:hint="eastAsia" w:cs="Times New Roman"/>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trPr>
              <w:tc>
                <w:tcPr>
                  <w:tcW w:w="663" w:type="dxa"/>
                  <w:tcBorders>
                    <w:tl2br w:val="nil"/>
                    <w:tr2bl w:val="nil"/>
                  </w:tcBorders>
                  <w:vAlign w:val="center"/>
                </w:tcPr>
                <w:p>
                  <w:pPr>
                    <w:pStyle w:val="606"/>
                    <w:rPr>
                      <w:rFonts w:hint="default" w:ascii="Times New Roman" w:hAnsi="Times New Roman" w:eastAsia="宋体" w:cs="Times New Roman"/>
                      <w:color w:val="auto"/>
                    </w:rPr>
                  </w:pPr>
                  <w:r>
                    <w:rPr>
                      <w:rFonts w:hint="default" w:ascii="Times New Roman" w:hAnsi="Times New Roman" w:eastAsia="宋体" w:cs="Times New Roman"/>
                      <w:color w:val="auto"/>
                    </w:rPr>
                    <w:t>地表水</w:t>
                  </w:r>
                </w:p>
              </w:tc>
              <w:tc>
                <w:tcPr>
                  <w:tcW w:w="4075" w:type="dxa"/>
                  <w:tcBorders>
                    <w:tl2br w:val="nil"/>
                    <w:tr2bl w:val="nil"/>
                  </w:tcBorders>
                  <w:vAlign w:val="center"/>
                </w:tcPr>
                <w:p>
                  <w:pPr>
                    <w:pStyle w:val="606"/>
                    <w:jc w:val="both"/>
                    <w:rPr>
                      <w:rFonts w:hint="default" w:ascii="Times New Roman" w:hAnsi="Times New Roman" w:eastAsia="宋体" w:cs="Times New Roman"/>
                      <w:color w:val="auto"/>
                    </w:rPr>
                  </w:pPr>
                  <w:r>
                    <w:rPr>
                      <w:rFonts w:hint="default" w:ascii="Times New Roman" w:hAnsi="Times New Roman" w:eastAsia="宋体" w:cs="Times New Roman"/>
                      <w:color w:val="auto"/>
                    </w:rPr>
                    <w:t>新增工业废水直排建设项目（槽罐车外送污水处理厂的除外）；新增废水直排的污水集中处理厂</w:t>
                  </w:r>
                </w:p>
              </w:tc>
              <w:tc>
                <w:tcPr>
                  <w:tcW w:w="2341" w:type="dxa"/>
                  <w:tcBorders>
                    <w:tl2br w:val="nil"/>
                    <w:tr2bl w:val="nil"/>
                  </w:tcBorders>
                  <w:vAlign w:val="center"/>
                </w:tcPr>
                <w:p>
                  <w:pPr>
                    <w:jc w:val="center"/>
                    <w:rPr>
                      <w:rFonts w:hint="default" w:ascii="Times New Roman" w:hAnsi="Times New Roman" w:eastAsia="宋体" w:cs="Times New Roman"/>
                      <w:color w:val="auto"/>
                    </w:rPr>
                  </w:pPr>
                  <w:r>
                    <w:rPr>
                      <w:rFonts w:hint="eastAsia" w:cs="Times New Roman"/>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63" w:type="dxa"/>
                  <w:tcBorders>
                    <w:tl2br w:val="nil"/>
                    <w:tr2bl w:val="nil"/>
                  </w:tcBorders>
                  <w:vAlign w:val="center"/>
                </w:tcPr>
                <w:p>
                  <w:pPr>
                    <w:pStyle w:val="606"/>
                    <w:rPr>
                      <w:rFonts w:hint="default" w:ascii="Times New Roman" w:hAnsi="Times New Roman" w:eastAsia="宋体" w:cs="Times New Roman"/>
                      <w:color w:val="auto"/>
                    </w:rPr>
                  </w:pPr>
                  <w:r>
                    <w:rPr>
                      <w:rFonts w:hint="default" w:ascii="Times New Roman" w:hAnsi="Times New Roman" w:eastAsia="宋体" w:cs="Times New Roman"/>
                      <w:color w:val="auto"/>
                    </w:rPr>
                    <w:t>环境风险</w:t>
                  </w:r>
                </w:p>
              </w:tc>
              <w:tc>
                <w:tcPr>
                  <w:tcW w:w="4075" w:type="dxa"/>
                  <w:tcBorders>
                    <w:tl2br w:val="nil"/>
                    <w:tr2bl w:val="nil"/>
                  </w:tcBorders>
                  <w:vAlign w:val="center"/>
                </w:tcPr>
                <w:p>
                  <w:pPr>
                    <w:pStyle w:val="606"/>
                    <w:jc w:val="both"/>
                    <w:rPr>
                      <w:rFonts w:hint="default" w:ascii="Times New Roman" w:hAnsi="Times New Roman" w:eastAsia="宋体" w:cs="Times New Roman"/>
                      <w:color w:val="auto"/>
                    </w:rPr>
                  </w:pPr>
                  <w:r>
                    <w:rPr>
                      <w:rFonts w:hint="default" w:ascii="Times New Roman" w:hAnsi="Times New Roman" w:eastAsia="宋体" w:cs="Times New Roman"/>
                      <w:color w:val="auto"/>
                    </w:rPr>
                    <w:t>有毒有害和易燃易爆物质存储量超过临界量的建设项目</w:t>
                  </w:r>
                </w:p>
              </w:tc>
              <w:tc>
                <w:tcPr>
                  <w:tcW w:w="2341" w:type="dxa"/>
                  <w:tcBorders>
                    <w:tl2br w:val="nil"/>
                    <w:tr2bl w:val="nil"/>
                  </w:tcBorders>
                  <w:vAlign w:val="center"/>
                </w:tcPr>
                <w:p>
                  <w:pPr>
                    <w:jc w:val="center"/>
                    <w:rPr>
                      <w:rFonts w:hint="default" w:ascii="Times New Roman" w:hAnsi="Times New Roman" w:eastAsia="宋体" w:cs="Times New Roman"/>
                      <w:color w:val="auto"/>
                    </w:rPr>
                  </w:pPr>
                  <w:r>
                    <w:rPr>
                      <w:rFonts w:hint="eastAsia" w:cs="Times New Roman"/>
                      <w:color w:val="auto"/>
                      <w:lang w:val="en-US" w:eastAsia="zh-CN"/>
                    </w:rPr>
                    <w:t>本项目风险物质储量未超过临界量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trPr>
              <w:tc>
                <w:tcPr>
                  <w:tcW w:w="663" w:type="dxa"/>
                  <w:tcBorders>
                    <w:tl2br w:val="nil"/>
                    <w:tr2bl w:val="nil"/>
                  </w:tcBorders>
                  <w:vAlign w:val="center"/>
                </w:tcPr>
                <w:p>
                  <w:pPr>
                    <w:pStyle w:val="606"/>
                    <w:rPr>
                      <w:rFonts w:hint="default" w:ascii="Times New Roman" w:hAnsi="Times New Roman" w:eastAsia="宋体" w:cs="Times New Roman"/>
                      <w:color w:val="auto"/>
                    </w:rPr>
                  </w:pPr>
                  <w:r>
                    <w:rPr>
                      <w:rFonts w:hint="default" w:ascii="Times New Roman" w:hAnsi="Times New Roman" w:eastAsia="宋体" w:cs="Times New Roman"/>
                      <w:color w:val="auto"/>
                    </w:rPr>
                    <w:t>生态</w:t>
                  </w:r>
                </w:p>
              </w:tc>
              <w:tc>
                <w:tcPr>
                  <w:tcW w:w="4075" w:type="dxa"/>
                  <w:tcBorders>
                    <w:tl2br w:val="nil"/>
                    <w:tr2bl w:val="nil"/>
                  </w:tcBorders>
                  <w:vAlign w:val="center"/>
                </w:tcPr>
                <w:p>
                  <w:pPr>
                    <w:pStyle w:val="606"/>
                    <w:jc w:val="both"/>
                    <w:rPr>
                      <w:rFonts w:hint="default" w:ascii="Times New Roman" w:hAnsi="Times New Roman" w:eastAsia="宋体" w:cs="Times New Roman"/>
                      <w:color w:val="auto"/>
                    </w:rPr>
                  </w:pPr>
                  <w:r>
                    <w:rPr>
                      <w:rFonts w:hint="default" w:ascii="Times New Roman" w:hAnsi="Times New Roman" w:eastAsia="宋体" w:cs="Times New Roman"/>
                      <w:color w:val="auto"/>
                    </w:rPr>
                    <w:t>取水口下游</w:t>
                  </w:r>
                  <w:r>
                    <w:rPr>
                      <w:rFonts w:hint="default" w:ascii="Times New Roman" w:hAnsi="Times New Roman" w:eastAsia="宋体" w:cs="Times New Roman"/>
                      <w:color w:val="auto"/>
                      <w:lang w:val="en-US" w:eastAsia="zh-CN"/>
                    </w:rPr>
                    <w:t>500</w:t>
                  </w:r>
                  <w:r>
                    <w:rPr>
                      <w:rFonts w:hint="default" w:ascii="Times New Roman" w:hAnsi="Times New Roman" w:eastAsia="宋体" w:cs="Times New Roman"/>
                      <w:color w:val="auto"/>
                    </w:rPr>
                    <w:t>m有重要的水生生物的自然产卵场、索饵场、越冬场和洄游通道的新增取水的污染类建设项目</w:t>
                  </w:r>
                </w:p>
              </w:tc>
              <w:tc>
                <w:tcPr>
                  <w:tcW w:w="2341" w:type="dxa"/>
                  <w:tcBorders>
                    <w:tl2br w:val="nil"/>
                    <w:tr2bl w:val="nil"/>
                  </w:tcBorders>
                  <w:vAlign w:val="center"/>
                </w:tcPr>
                <w:p>
                  <w:pPr>
                    <w:jc w:val="center"/>
                    <w:rPr>
                      <w:rFonts w:hint="default" w:ascii="Times New Roman" w:hAnsi="Times New Roman" w:eastAsia="宋体" w:cs="Times New Roman"/>
                      <w:color w:val="auto"/>
                    </w:rPr>
                  </w:pPr>
                  <w:r>
                    <w:rPr>
                      <w:rFonts w:hint="eastAsia" w:cs="Times New Roman"/>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663" w:type="dxa"/>
                  <w:tcBorders>
                    <w:tl2br w:val="nil"/>
                    <w:tr2bl w:val="nil"/>
                  </w:tcBorders>
                  <w:vAlign w:val="center"/>
                </w:tcPr>
                <w:p>
                  <w:pPr>
                    <w:pStyle w:val="606"/>
                    <w:rPr>
                      <w:rFonts w:hint="default" w:ascii="Times New Roman" w:hAnsi="Times New Roman" w:eastAsia="宋体" w:cs="Times New Roman"/>
                      <w:color w:val="auto"/>
                    </w:rPr>
                  </w:pPr>
                  <w:r>
                    <w:rPr>
                      <w:rFonts w:hint="default" w:ascii="Times New Roman" w:hAnsi="Times New Roman" w:eastAsia="宋体" w:cs="Times New Roman"/>
                      <w:color w:val="auto"/>
                    </w:rPr>
                    <w:t>海洋</w:t>
                  </w:r>
                </w:p>
              </w:tc>
              <w:tc>
                <w:tcPr>
                  <w:tcW w:w="4075" w:type="dxa"/>
                  <w:tcBorders>
                    <w:tl2br w:val="nil"/>
                    <w:tr2bl w:val="nil"/>
                  </w:tcBorders>
                  <w:vAlign w:val="center"/>
                </w:tcPr>
                <w:p>
                  <w:pPr>
                    <w:pStyle w:val="606"/>
                    <w:jc w:val="both"/>
                    <w:rPr>
                      <w:rFonts w:hint="default" w:ascii="Times New Roman" w:hAnsi="Times New Roman" w:eastAsia="宋体" w:cs="Times New Roman"/>
                      <w:color w:val="auto"/>
                    </w:rPr>
                  </w:pPr>
                  <w:r>
                    <w:rPr>
                      <w:rFonts w:hint="default" w:ascii="Times New Roman" w:hAnsi="Times New Roman" w:eastAsia="宋体" w:cs="Times New Roman"/>
                      <w:color w:val="auto"/>
                    </w:rPr>
                    <w:t>直接向海排放污染物的海洋工程建设项目</w:t>
                  </w:r>
                </w:p>
              </w:tc>
              <w:tc>
                <w:tcPr>
                  <w:tcW w:w="2341" w:type="dxa"/>
                  <w:tcBorders>
                    <w:tl2br w:val="nil"/>
                    <w:tr2bl w:val="nil"/>
                  </w:tcBorders>
                  <w:vAlign w:val="center"/>
                </w:tcPr>
                <w:p>
                  <w:pPr>
                    <w:jc w:val="center"/>
                    <w:rPr>
                      <w:rFonts w:hint="default" w:ascii="Times New Roman" w:hAnsi="Times New Roman" w:eastAsia="宋体" w:cs="Times New Roman"/>
                      <w:color w:val="auto"/>
                    </w:rPr>
                  </w:pPr>
                  <w:r>
                    <w:rPr>
                      <w:rFonts w:hint="eastAsia" w:cs="Times New Roman"/>
                      <w:color w:val="auto"/>
                      <w:lang w:val="en-US" w:eastAsia="zh-CN"/>
                    </w:rPr>
                    <w:t>无</w:t>
                  </w:r>
                </w:p>
              </w:tc>
            </w:tr>
          </w:tbl>
          <w:p>
            <w:pPr>
              <w:autoSpaceDE w:val="0"/>
              <w:autoSpaceDN w:val="0"/>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经对照专项评价设置原则表，本</w:t>
            </w:r>
            <w:r>
              <w:rPr>
                <w:rFonts w:hint="default" w:ascii="Times New Roman" w:hAnsi="Times New Roman" w:eastAsia="宋体" w:cs="Times New Roman"/>
                <w:color w:val="auto"/>
                <w:lang w:eastAsia="zh-CN"/>
              </w:rPr>
              <w:t>无须设置</w:t>
            </w:r>
            <w:r>
              <w:rPr>
                <w:rFonts w:hint="default" w:ascii="Times New Roman" w:hAnsi="Times New Roman" w:eastAsia="宋体" w:cs="Times New Roman"/>
                <w:color w:val="auto"/>
              </w:rPr>
              <w:t>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99" w:hRule="atLeast"/>
          <w:jc w:val="center"/>
        </w:trPr>
        <w:tc>
          <w:tcPr>
            <w:tcW w:w="1585"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7306"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360" w:lineRule="auto"/>
              <w:ind w:firstLine="480" w:firstLineChars="200"/>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规划环境影响评价名称：</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eastAsia="zh-CN"/>
              </w:rPr>
              <w:t>奉新高新技术产业园区控制性详细规划（修编）</w:t>
            </w:r>
            <w:r>
              <w:rPr>
                <w:rFonts w:hint="default" w:ascii="Times New Roman" w:hAnsi="Times New Roman" w:eastAsia="宋体" w:cs="Times New Roman"/>
                <w:color w:val="FF0000"/>
                <w:sz w:val="24"/>
                <w:szCs w:val="24"/>
              </w:rPr>
              <w:t>》</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召集审查机关：江西省生态环境厅</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FF0000"/>
                <w:sz w:val="24"/>
                <w:szCs w:val="24"/>
                <w:lang w:val="en-US" w:eastAsia="zh-CN"/>
              </w:rPr>
              <w:t>审查文件名称及文号：《江西省生态环境厅关于江西奉新高新技术产业园区规划（修编）环境影响报告书审查意见的函》（赣环环评函【2022】11号）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4" w:hRule="atLeast"/>
          <w:jc w:val="center"/>
        </w:trPr>
        <w:tc>
          <w:tcPr>
            <w:tcW w:w="1585"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规划环境影响评价情况</w:t>
            </w:r>
          </w:p>
        </w:tc>
        <w:tc>
          <w:tcPr>
            <w:tcW w:w="7306"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360" w:lineRule="auto"/>
              <w:ind w:firstLine="480" w:firstLineChars="200"/>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规划环境影响评价名称：</w:t>
            </w:r>
            <w:r>
              <w:rPr>
                <w:rFonts w:hint="default"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lang w:eastAsia="zh-CN"/>
              </w:rPr>
              <w:t>江西奉新高新技术产业园区调区规划环境影响报告书</w:t>
            </w:r>
            <w:r>
              <w:rPr>
                <w:rFonts w:hint="default" w:ascii="Times New Roman" w:hAnsi="Times New Roman" w:eastAsia="宋体" w:cs="Times New Roman"/>
                <w:color w:val="FF0000"/>
                <w:sz w:val="24"/>
                <w:szCs w:val="24"/>
              </w:rPr>
              <w:t>》</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召集审查机关：</w:t>
            </w:r>
            <w:r>
              <w:rPr>
                <w:rFonts w:hint="default" w:ascii="Times New Roman" w:hAnsi="Times New Roman" w:eastAsia="宋体" w:cs="Times New Roman"/>
                <w:color w:val="FF0000"/>
                <w:sz w:val="24"/>
                <w:szCs w:val="24"/>
              </w:rPr>
              <w:t>江西省</w:t>
            </w:r>
            <w:r>
              <w:rPr>
                <w:rFonts w:hint="eastAsia" w:ascii="Times New Roman" w:hAnsi="Times New Roman" w:eastAsia="宋体" w:cs="Times New Roman"/>
                <w:color w:val="FF0000"/>
                <w:sz w:val="24"/>
                <w:szCs w:val="24"/>
                <w:lang w:eastAsia="zh-CN"/>
              </w:rPr>
              <w:t>生态环境厅</w:t>
            </w:r>
          </w:p>
          <w:p>
            <w:pPr>
              <w:autoSpaceDE w:val="0"/>
              <w:autoSpaceDN w:val="0"/>
              <w:adjustRightInd w:val="0"/>
              <w:snapToGrid w:val="0"/>
              <w:spacing w:line="360" w:lineRule="auto"/>
              <w:ind w:firstLine="480" w:firstLineChars="200"/>
              <w:rPr>
                <w:rFonts w:hint="default"/>
                <w:lang w:val="en-US" w:eastAsia="zh-CN"/>
              </w:rPr>
            </w:pPr>
            <w:r>
              <w:rPr>
                <w:rFonts w:hint="eastAsia" w:ascii="Times New Roman" w:hAnsi="Times New Roman" w:eastAsia="宋体" w:cs="Times New Roman"/>
                <w:color w:val="FF0000"/>
                <w:sz w:val="24"/>
                <w:szCs w:val="24"/>
                <w:lang w:val="en-US" w:eastAsia="zh-CN"/>
              </w:rPr>
              <w:t>审查文件名称及文号：《江西省生态环境厅关于</w:t>
            </w:r>
            <w:r>
              <w:rPr>
                <w:rFonts w:hint="default" w:ascii="Times New Roman" w:hAnsi="Times New Roman" w:eastAsia="宋体" w:cs="Times New Roman"/>
                <w:color w:val="FF0000"/>
                <w:sz w:val="24"/>
                <w:szCs w:val="24"/>
              </w:rPr>
              <w:t>江西奉新</w:t>
            </w:r>
            <w:r>
              <w:rPr>
                <w:rFonts w:hint="eastAsia" w:ascii="Times New Roman" w:hAnsi="Times New Roman" w:eastAsia="宋体" w:cs="Times New Roman"/>
                <w:color w:val="FF0000"/>
                <w:sz w:val="24"/>
                <w:szCs w:val="24"/>
                <w:lang w:eastAsia="zh-CN"/>
              </w:rPr>
              <w:t>高新技术产业园区调区规划环境影响报告书审查意见的函</w:t>
            </w:r>
            <w:r>
              <w:rPr>
                <w:rFonts w:hint="eastAsia" w:ascii="Times New Roman" w:hAnsi="Times New Roman" w:eastAsia="宋体" w:cs="Times New Roman"/>
                <w:color w:val="FF0000"/>
                <w:sz w:val="24"/>
                <w:szCs w:val="24"/>
                <w:lang w:val="en-US" w:eastAsia="zh-CN"/>
              </w:rPr>
              <w:t>》（赣环环评函【2022】31号）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24" w:hRule="atLeast"/>
          <w:jc w:val="center"/>
        </w:trPr>
        <w:tc>
          <w:tcPr>
            <w:tcW w:w="1585"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规划及规划环境影响评价符合性分析</w:t>
            </w:r>
          </w:p>
        </w:tc>
        <w:tc>
          <w:tcPr>
            <w:tcW w:w="7306"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numPr>
                <w:ilvl w:val="0"/>
                <w:numId w:val="0"/>
              </w:numPr>
              <w:autoSpaceDE w:val="0"/>
              <w:autoSpaceDN w:val="0"/>
              <w:adjustRightInd w:val="0"/>
              <w:snapToGrid w:val="0"/>
              <w:spacing w:line="360" w:lineRule="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1、与《</w:t>
            </w:r>
            <w:r>
              <w:rPr>
                <w:rFonts w:hint="eastAsia" w:ascii="Times New Roman" w:hAnsi="Times New Roman" w:eastAsia="宋体" w:cs="Times New Roman"/>
                <w:color w:val="FF0000"/>
                <w:sz w:val="24"/>
                <w:szCs w:val="24"/>
                <w:lang w:eastAsia="zh-CN"/>
              </w:rPr>
              <w:t>奉新高新技术产业园区控制性详细规划（修编）</w:t>
            </w:r>
            <w:r>
              <w:rPr>
                <w:rFonts w:hint="eastAsia" w:ascii="Times New Roman" w:hAnsi="Times New Roman" w:eastAsia="宋体" w:cs="Times New Roman"/>
                <w:color w:val="FF0000"/>
                <w:sz w:val="24"/>
                <w:szCs w:val="24"/>
                <w:lang w:val="en-US" w:eastAsia="zh-CN"/>
              </w:rPr>
              <w:t>》相符性分析</w:t>
            </w:r>
          </w:p>
          <w:p>
            <w:pPr>
              <w:numPr>
                <w:ilvl w:val="0"/>
                <w:numId w:val="0"/>
              </w:numPr>
              <w:autoSpaceDE w:val="0"/>
              <w:autoSpaceDN w:val="0"/>
              <w:adjustRightInd w:val="0"/>
              <w:snapToGrid w:val="0"/>
              <w:spacing w:line="360" w:lineRule="auto"/>
              <w:ind w:firstLine="480" w:firstLineChars="200"/>
              <w:rPr>
                <w:rFonts w:ascii="宋体" w:hAnsi="宋体" w:eastAsia="宋体" w:cs="宋体"/>
                <w:color w:val="FF0000"/>
                <w:sz w:val="24"/>
                <w:szCs w:val="24"/>
              </w:rPr>
            </w:pPr>
            <w:r>
              <w:rPr>
                <w:rFonts w:ascii="宋体" w:hAnsi="宋体" w:eastAsia="宋体" w:cs="宋体"/>
                <w:color w:val="FF0000"/>
                <w:sz w:val="24"/>
                <w:szCs w:val="24"/>
              </w:rPr>
              <w:t>冯田工业区产业定位：</w:t>
            </w:r>
            <w:r>
              <w:rPr>
                <w:rFonts w:hint="eastAsia" w:ascii="宋体" w:hAnsi="宋体" w:eastAsia="宋体" w:cs="宋体"/>
                <w:color w:val="FF0000"/>
                <w:sz w:val="24"/>
                <w:szCs w:val="24"/>
                <w:lang w:eastAsia="zh-CN"/>
              </w:rPr>
              <w:t>奉新高新技术产业园区冯田片区</w:t>
            </w:r>
            <w:r>
              <w:rPr>
                <w:rFonts w:ascii="宋体" w:hAnsi="宋体" w:eastAsia="宋体" w:cs="宋体"/>
                <w:color w:val="FF0000"/>
                <w:sz w:val="24"/>
                <w:szCs w:val="24"/>
              </w:rPr>
              <w:t>以新能源新材料、纺织为主导产业，同时发展化工冶炼、机械制造、再生资源利用等重点产业。产业布局分四个产业区块，西北部、中南部和南部为新材料、新能源（其中冯田南部为锂冶炼化工，该部分称为化工集中区B区），北侧东部为化工集中区A区（距离南潦河1km范围外），中部为纺织、机械制造，东部为再生资源利用(含锂冶炼和再生铝地块)。</w:t>
            </w:r>
          </w:p>
          <w:p>
            <w:pPr>
              <w:numPr>
                <w:ilvl w:val="0"/>
                <w:numId w:val="0"/>
              </w:numPr>
              <w:autoSpaceDE w:val="0"/>
              <w:autoSpaceDN w:val="0"/>
              <w:adjustRightInd w:val="0"/>
              <w:snapToGrid w:val="0"/>
              <w:spacing w:line="360" w:lineRule="auto"/>
              <w:ind w:firstLine="480" w:firstLineChars="200"/>
              <w:rPr>
                <w:rFonts w:hint="eastAsia" w:ascii="Times New Roman" w:hAnsi="Times New Roman" w:eastAsia="宋体" w:cs="Times New Roman"/>
                <w:color w:val="FF0000"/>
                <w:sz w:val="24"/>
                <w:szCs w:val="24"/>
                <w:lang w:val="en-US" w:eastAsia="zh-CN"/>
              </w:rPr>
            </w:pPr>
            <w:r>
              <w:rPr>
                <w:rFonts w:ascii="宋体" w:hAnsi="宋体" w:eastAsia="宋体" w:cs="宋体"/>
                <w:color w:val="FF0000"/>
                <w:sz w:val="24"/>
                <w:szCs w:val="24"/>
              </w:rPr>
              <w:t>本项目</w:t>
            </w:r>
            <w:r>
              <w:rPr>
                <w:rFonts w:hint="eastAsia" w:ascii="宋体" w:hAnsi="宋体" w:eastAsia="宋体" w:cs="宋体"/>
                <w:color w:val="FF0000"/>
                <w:sz w:val="24"/>
                <w:szCs w:val="24"/>
                <w:lang w:eastAsia="zh-CN"/>
              </w:rPr>
              <w:t>位于奉新高新技术产业园区冯田片区东部区域内。以氟石膏、天然石膏及石灰石为原料，经破碎、粉磨、打包等工序制备氟石膏粉和天然石膏粉及碳酸钙等粉末产品</w:t>
            </w:r>
            <w:r>
              <w:rPr>
                <w:rFonts w:hint="eastAsia" w:ascii="宋体" w:hAnsi="宋体" w:eastAsia="宋体" w:cs="宋体"/>
                <w:color w:val="FF0000"/>
                <w:sz w:val="24"/>
                <w:szCs w:val="24"/>
                <w:lang w:val="en-US" w:eastAsia="zh-CN"/>
              </w:rPr>
              <w:t>。项目所用氟石膏原材料为</w:t>
            </w:r>
            <w:r>
              <w:rPr>
                <w:rFonts w:hint="eastAsia" w:ascii="宋体" w:hAnsi="宋体" w:eastAsia="宋体" w:cs="宋体"/>
                <w:color w:val="FF0000"/>
                <w:sz w:val="24"/>
                <w:szCs w:val="24"/>
                <w:lang w:eastAsia="zh-CN"/>
              </w:rPr>
              <w:t>利用萤石和浓硫酸制取氢氟酸后的工业废渣，经鉴定为一般固废。年用氟石膏量占总原料的一半。故，项目属于再生资源利用范畴，</w:t>
            </w:r>
            <w:r>
              <w:rPr>
                <w:rFonts w:ascii="宋体" w:hAnsi="宋体" w:eastAsia="宋体" w:cs="宋体"/>
                <w:color w:val="FF0000"/>
                <w:sz w:val="24"/>
                <w:szCs w:val="24"/>
              </w:rPr>
              <w:t>与高新技术产业园区</w:t>
            </w:r>
            <w:r>
              <w:rPr>
                <w:rFonts w:hint="eastAsia" w:ascii="宋体" w:hAnsi="宋体" w:eastAsia="宋体" w:cs="宋体"/>
                <w:color w:val="FF0000"/>
                <w:sz w:val="24"/>
                <w:szCs w:val="24"/>
                <w:lang w:eastAsia="zh-CN"/>
              </w:rPr>
              <w:t>冯田片区</w:t>
            </w:r>
            <w:r>
              <w:rPr>
                <w:rFonts w:ascii="宋体" w:hAnsi="宋体" w:eastAsia="宋体" w:cs="宋体"/>
                <w:color w:val="FF0000"/>
                <w:sz w:val="24"/>
                <w:szCs w:val="24"/>
              </w:rPr>
              <w:t>产业定位相符</w:t>
            </w:r>
            <w:r>
              <w:rPr>
                <w:rFonts w:hint="eastAsia" w:ascii="宋体" w:hAnsi="宋体" w:eastAsia="宋体" w:cs="宋体"/>
                <w:color w:val="FF0000"/>
                <w:sz w:val="24"/>
                <w:szCs w:val="24"/>
                <w:lang w:eastAsia="zh-CN"/>
              </w:rPr>
              <w:t>。</w:t>
            </w:r>
          </w:p>
          <w:p>
            <w:pPr>
              <w:numPr>
                <w:ilvl w:val="0"/>
                <w:numId w:val="0"/>
              </w:numPr>
              <w:autoSpaceDE w:val="0"/>
              <w:autoSpaceDN w:val="0"/>
              <w:adjustRightInd w:val="0"/>
              <w:snapToGrid w:val="0"/>
              <w:spacing w:line="360" w:lineRule="auto"/>
              <w:ind w:firstLine="480" w:firstLineChars="200"/>
              <w:rPr>
                <w:rFonts w:hint="eastAsia" w:ascii="宋体" w:hAnsi="宋体" w:eastAsia="宋体" w:cs="宋体"/>
                <w:color w:val="FF0000"/>
                <w:sz w:val="24"/>
                <w:szCs w:val="24"/>
                <w:lang w:val="en-US" w:eastAsia="zh-CN"/>
              </w:rPr>
            </w:pPr>
            <w:r>
              <w:rPr>
                <w:rFonts w:hint="eastAsia" w:ascii="Times New Roman" w:hAnsi="Times New Roman" w:eastAsia="宋体" w:cs="Times New Roman"/>
                <w:color w:val="FF0000"/>
                <w:sz w:val="24"/>
                <w:szCs w:val="24"/>
                <w:lang w:val="en-US" w:eastAsia="zh-CN"/>
              </w:rPr>
              <w:t>2、《</w:t>
            </w:r>
            <w:r>
              <w:rPr>
                <w:rFonts w:hint="eastAsia" w:ascii="宋体" w:hAnsi="宋体" w:eastAsia="宋体" w:cs="宋体"/>
                <w:color w:val="FF0000"/>
                <w:sz w:val="24"/>
                <w:szCs w:val="24"/>
                <w:lang w:val="en-US" w:eastAsia="zh-CN"/>
              </w:rPr>
              <w:t>江西奉新高新技术产业园区调区规划环境影响报告书》相符性分析</w:t>
            </w:r>
          </w:p>
          <w:p>
            <w:pPr>
              <w:numPr>
                <w:ilvl w:val="0"/>
                <w:numId w:val="0"/>
              </w:numPr>
              <w:autoSpaceDE w:val="0"/>
              <w:autoSpaceDN w:val="0"/>
              <w:adjustRightInd w:val="0"/>
              <w:snapToGrid w:val="0"/>
              <w:spacing w:line="360" w:lineRule="auto"/>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（1）、与园区环境准入负面清单相符性分析</w:t>
            </w:r>
          </w:p>
          <w:p>
            <w:pPr>
              <w:numPr>
                <w:ilvl w:val="0"/>
                <w:numId w:val="0"/>
              </w:numPr>
              <w:tabs>
                <w:tab w:val="left" w:pos="0"/>
              </w:tabs>
              <w:spacing w:line="240" w:lineRule="auto"/>
              <w:jc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表1-2 与园区环境准入负面清单相符性分析</w:t>
            </w:r>
          </w:p>
          <w:tbl>
            <w:tblPr>
              <w:tblStyle w:val="58"/>
              <w:tblW w:w="7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5"/>
              <w:gridCol w:w="2959"/>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园区准入负面清单</w:t>
                  </w:r>
                </w:p>
              </w:tc>
              <w:tc>
                <w:tcPr>
                  <w:tcW w:w="2959"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项目情况</w:t>
                  </w:r>
                </w:p>
              </w:tc>
              <w:tc>
                <w:tcPr>
                  <w:tcW w:w="856"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center"/>
                </w:tcPr>
                <w:p>
                  <w:pPr>
                    <w:pStyle w:val="35"/>
                    <w:numPr>
                      <w:ilvl w:val="0"/>
                      <w:numId w:val="0"/>
                    </w:numPr>
                    <w:jc w:val="center"/>
                    <w:rPr>
                      <w:rFonts w:hint="default"/>
                      <w:color w:val="FF0000"/>
                      <w:vertAlign w:val="baseline"/>
                      <w:lang w:val="en-US" w:eastAsia="zh-CN"/>
                    </w:rPr>
                  </w:pPr>
                  <w:r>
                    <w:rPr>
                      <w:rFonts w:hint="eastAsia"/>
                      <w:color w:val="FF0000"/>
                      <w:vertAlign w:val="baseline"/>
                      <w:lang w:val="en-US" w:eastAsia="zh-CN"/>
                    </w:rPr>
                    <w:t>1、有助于工业园循环经济链条的形成，符合可持续发展战略，有利于节约资源和改善生态环境。</w:t>
                  </w:r>
                </w:p>
              </w:tc>
              <w:tc>
                <w:tcPr>
                  <w:tcW w:w="2959"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项目为再生资源利用行业，符合节约资源和可持续发展战略</w:t>
                  </w:r>
                </w:p>
              </w:tc>
              <w:tc>
                <w:tcPr>
                  <w:tcW w:w="856"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center"/>
                </w:tcPr>
                <w:p>
                  <w:pPr>
                    <w:pStyle w:val="35"/>
                    <w:numPr>
                      <w:ilvl w:val="0"/>
                      <w:numId w:val="0"/>
                    </w:numPr>
                    <w:jc w:val="center"/>
                    <w:rPr>
                      <w:rFonts w:hint="default"/>
                      <w:color w:val="FF0000"/>
                      <w:vertAlign w:val="baseline"/>
                      <w:lang w:val="en-US" w:eastAsia="zh-CN"/>
                    </w:rPr>
                  </w:pPr>
                  <w:r>
                    <w:rPr>
                      <w:rFonts w:hint="eastAsia"/>
                      <w:color w:val="FF0000"/>
                      <w:vertAlign w:val="baseline"/>
                      <w:lang w:val="en-US" w:eastAsia="zh-CN"/>
                    </w:rPr>
                    <w:t>2、当前和今后一个时期有较大的市场需求，发展前景广阔，有利于开拓国内市场；</w:t>
                  </w:r>
                </w:p>
              </w:tc>
              <w:tc>
                <w:tcPr>
                  <w:tcW w:w="2959"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项目产品为建筑用材及锂电行业辅料，具有较大市场需求</w:t>
                  </w:r>
                </w:p>
              </w:tc>
              <w:tc>
                <w:tcPr>
                  <w:tcW w:w="856"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center"/>
                </w:tcPr>
                <w:p>
                  <w:pPr>
                    <w:pStyle w:val="35"/>
                    <w:numPr>
                      <w:ilvl w:val="0"/>
                      <w:numId w:val="0"/>
                    </w:numPr>
                    <w:jc w:val="center"/>
                    <w:rPr>
                      <w:rFonts w:hint="default"/>
                      <w:color w:val="FF0000"/>
                      <w:vertAlign w:val="baseline"/>
                      <w:lang w:val="en-US" w:eastAsia="zh-CN"/>
                    </w:rPr>
                  </w:pPr>
                  <w:r>
                    <w:rPr>
                      <w:rFonts w:hint="eastAsia"/>
                      <w:color w:val="FF0000"/>
                      <w:vertAlign w:val="baseline"/>
                      <w:lang w:val="en-US" w:eastAsia="zh-CN"/>
                    </w:rPr>
                    <w:t>3、有较高的技术含量，有利于促进企业设备更新和产业技术进步，提高竞争力；</w:t>
                  </w:r>
                </w:p>
              </w:tc>
              <w:tc>
                <w:tcPr>
                  <w:tcW w:w="2959"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项目建设工艺为国内先进生产技术</w:t>
                  </w:r>
                </w:p>
              </w:tc>
              <w:tc>
                <w:tcPr>
                  <w:tcW w:w="856"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4、国内存在从研究开发到实现产业化的技术基础，有利于技术创新，形成新的经济增长点</w:t>
                  </w:r>
                </w:p>
              </w:tc>
              <w:tc>
                <w:tcPr>
                  <w:tcW w:w="2959"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项目生产技术为国内先进生产工艺</w:t>
                  </w:r>
                </w:p>
              </w:tc>
              <w:tc>
                <w:tcPr>
                  <w:tcW w:w="856"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center"/>
                </w:tcPr>
                <w:p>
                  <w:pPr>
                    <w:pStyle w:val="35"/>
                    <w:numPr>
                      <w:ilvl w:val="0"/>
                      <w:numId w:val="0"/>
                    </w:numPr>
                    <w:jc w:val="center"/>
                    <w:rPr>
                      <w:rFonts w:hint="default"/>
                      <w:color w:val="FF0000"/>
                      <w:vertAlign w:val="baseline"/>
                      <w:lang w:val="en-US" w:eastAsia="zh-CN"/>
                    </w:rPr>
                  </w:pPr>
                  <w:r>
                    <w:rPr>
                      <w:rFonts w:hint="eastAsia"/>
                      <w:color w:val="FF0000"/>
                      <w:vertAlign w:val="baseline"/>
                      <w:lang w:val="en-US" w:eastAsia="zh-CN"/>
                    </w:rPr>
                    <w:t>5、供给能力相对滞后，提高其供给能力，有利于促进经济结构的合理化，保持国民经济快速健康发展</w:t>
                  </w:r>
                </w:p>
              </w:tc>
              <w:tc>
                <w:tcPr>
                  <w:tcW w:w="2959" w:type="dxa"/>
                  <w:vAlign w:val="center"/>
                </w:tcPr>
                <w:p>
                  <w:pPr>
                    <w:pStyle w:val="35"/>
                    <w:numPr>
                      <w:ilvl w:val="0"/>
                      <w:numId w:val="0"/>
                    </w:numPr>
                    <w:jc w:val="center"/>
                    <w:rPr>
                      <w:rFonts w:hint="default"/>
                      <w:color w:val="FF0000"/>
                      <w:vertAlign w:val="baseline"/>
                      <w:lang w:val="en-US" w:eastAsia="zh-CN"/>
                    </w:rPr>
                  </w:pPr>
                  <w:r>
                    <w:rPr>
                      <w:rFonts w:hint="eastAsia"/>
                      <w:color w:val="FF0000"/>
                      <w:vertAlign w:val="baseline"/>
                      <w:lang w:val="en-US" w:eastAsia="zh-CN"/>
                    </w:rPr>
                    <w:t>项目为废弃资源再生利用项目，可有效减少企业前期投入，降低成本， 促进经济发展</w:t>
                  </w:r>
                </w:p>
              </w:tc>
              <w:tc>
                <w:tcPr>
                  <w:tcW w:w="856" w:type="dxa"/>
                  <w:vAlign w:val="center"/>
                </w:tcPr>
                <w:p>
                  <w:pPr>
                    <w:pStyle w:val="35"/>
                    <w:numPr>
                      <w:ilvl w:val="0"/>
                      <w:numId w:val="0"/>
                    </w:numPr>
                    <w:jc w:val="center"/>
                    <w:rPr>
                      <w:rFonts w:hint="eastAsia"/>
                      <w:color w:val="FF0000"/>
                      <w:vertAlign w:val="baseline"/>
                      <w:lang w:val="en-US" w:eastAsia="zh-CN"/>
                    </w:rPr>
                  </w:pPr>
                  <w:r>
                    <w:rPr>
                      <w:rFonts w:hint="eastAsia"/>
                      <w:color w:val="FF0000"/>
                      <w:vertAlign w:val="baseline"/>
                      <w:lang w:val="en-US" w:eastAsia="zh-CN"/>
                    </w:rPr>
                    <w:t>相符</w:t>
                  </w:r>
                </w:p>
              </w:tc>
            </w:tr>
          </w:tbl>
          <w:p>
            <w:pPr>
              <w:numPr>
                <w:ilvl w:val="0"/>
                <w:numId w:val="0"/>
              </w:numPr>
              <w:autoSpaceDE w:val="0"/>
              <w:autoSpaceDN w:val="0"/>
              <w:adjustRightInd w:val="0"/>
              <w:snapToGrid w:val="0"/>
              <w:spacing w:line="360" w:lineRule="auto"/>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（2）、与园区环保准入条件相符性分析</w:t>
            </w:r>
          </w:p>
          <w:p>
            <w:pPr>
              <w:jc w:val="center"/>
              <w:rPr>
                <w:rFonts w:hint="eastAsia"/>
                <w:color w:val="FF0000"/>
                <w:lang w:val="en-US" w:eastAsia="zh-CN"/>
              </w:rPr>
            </w:pPr>
            <w:r>
              <w:rPr>
                <w:rFonts w:hint="eastAsia"/>
                <w:color w:val="FF0000"/>
                <w:lang w:val="en-US" w:eastAsia="zh-CN"/>
              </w:rPr>
              <w:t>表1-3与园区环保准入条件相符性分析</w:t>
            </w:r>
          </w:p>
          <w:tbl>
            <w:tblPr>
              <w:tblStyle w:val="58"/>
              <w:tblW w:w="7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3668"/>
              <w:gridCol w:w="2141"/>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引进原则</w:t>
                  </w:r>
                </w:p>
              </w:tc>
              <w:tc>
                <w:tcPr>
                  <w:tcW w:w="3668"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项目类别</w:t>
                  </w:r>
                </w:p>
              </w:tc>
              <w:tc>
                <w:tcPr>
                  <w:tcW w:w="2141"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项目情况</w:t>
                  </w:r>
                </w:p>
              </w:tc>
              <w:tc>
                <w:tcPr>
                  <w:tcW w:w="654"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trPr>
              <w:tc>
                <w:tcPr>
                  <w:tcW w:w="671" w:type="dxa"/>
                  <w:vAlign w:val="center"/>
                </w:tcPr>
                <w:p>
                  <w:pPr>
                    <w:pStyle w:val="35"/>
                    <w:numPr>
                      <w:ilvl w:val="0"/>
                      <w:numId w:val="0"/>
                    </w:numPr>
                    <w:tabs>
                      <w:tab w:val="center" w:pos="601"/>
                    </w:tabs>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允许准入</w:t>
                  </w:r>
                </w:p>
              </w:tc>
              <w:tc>
                <w:tcPr>
                  <w:tcW w:w="36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eastAsia="宋体" w:cs="Times New Roman"/>
                      <w:color w:val="FF0000"/>
                      <w:vertAlign w:val="baseline"/>
                      <w:lang w:val="en-US" w:eastAsia="zh-CN"/>
                    </w:rPr>
                  </w:pPr>
                  <w:r>
                    <w:rPr>
                      <w:rFonts w:hint="eastAsia" w:eastAsia="宋体" w:cs="Times New Roman"/>
                      <w:color w:val="FF0000"/>
                      <w:vertAlign w:val="baseline"/>
                      <w:lang w:val="en-US" w:eastAsia="zh-CN"/>
                    </w:rPr>
                    <w:t>1、工业项目应符合产业政策，清洁生产水平至少达到国内先进水平；</w:t>
                  </w:r>
                </w:p>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2、“两高”项目需按照相关文件（赣府厅发[2021]33号文）落实污染物排放减量替代等要求</w:t>
                  </w:r>
                </w:p>
              </w:tc>
              <w:tc>
                <w:tcPr>
                  <w:tcW w:w="2141"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项目为鼓励类型项目；清洁生产水平达国家先进；项目不属于两高行业</w:t>
                  </w:r>
                </w:p>
              </w:tc>
              <w:tc>
                <w:tcPr>
                  <w:tcW w:w="654"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限制发展</w:t>
                  </w:r>
                </w:p>
              </w:tc>
              <w:tc>
                <w:tcPr>
                  <w:tcW w:w="36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新材料：以南潦河岸为界线，向陆地延伸1公里范围内现有化工、造纸等高耗能高排放项目予以限制。现有项目严禁以技改为名扩大产能。</w:t>
                  </w:r>
                </w:p>
              </w:tc>
              <w:tc>
                <w:tcPr>
                  <w:tcW w:w="2141"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项目不为化工、造纸等高耗能高排放项目</w:t>
                  </w:r>
                </w:p>
              </w:tc>
              <w:tc>
                <w:tcPr>
                  <w:tcW w:w="654"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禁止准入</w:t>
                  </w:r>
                </w:p>
              </w:tc>
              <w:tc>
                <w:tcPr>
                  <w:tcW w:w="36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新能源：</w:t>
                  </w:r>
                  <w:r>
                    <w:rPr>
                      <w:rFonts w:hint="default" w:eastAsia="宋体" w:cs="Times New Roman"/>
                      <w:color w:val="FF0000"/>
                      <w:vertAlign w:val="baseline"/>
                      <w:lang w:val="en-US" w:eastAsia="zh-CN"/>
                    </w:rPr>
                    <w:t>1、新建铅酸蓄电池生产项目；2、新建太阳能电池前端工序多晶硅或单晶硅生产；</w:t>
                  </w:r>
                </w:p>
              </w:tc>
              <w:tc>
                <w:tcPr>
                  <w:tcW w:w="2141"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本项目不属于新建铅酸蓄电池及新建太阳能电池项目</w:t>
                  </w:r>
                </w:p>
              </w:tc>
              <w:tc>
                <w:tcPr>
                  <w:tcW w:w="654"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pStyle w:val="35"/>
                    <w:numPr>
                      <w:ilvl w:val="0"/>
                      <w:numId w:val="0"/>
                    </w:numPr>
                    <w:spacing w:line="240" w:lineRule="auto"/>
                    <w:jc w:val="center"/>
                    <w:rPr>
                      <w:rFonts w:hint="eastAsia" w:eastAsia="宋体" w:cs="Times New Roman"/>
                      <w:color w:val="FF0000"/>
                      <w:vertAlign w:val="baseline"/>
                      <w:lang w:val="en-US" w:eastAsia="zh-CN"/>
                    </w:rPr>
                  </w:pPr>
                </w:p>
              </w:tc>
              <w:tc>
                <w:tcPr>
                  <w:tcW w:w="36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新材料：以潦河岸为界线，向陆地延伸1公里范围内禁止新建化工项目。</w:t>
                  </w:r>
                </w:p>
              </w:tc>
              <w:tc>
                <w:tcPr>
                  <w:tcW w:w="2141"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项目不属于化工项目</w:t>
                  </w:r>
                </w:p>
              </w:tc>
              <w:tc>
                <w:tcPr>
                  <w:tcW w:w="654"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pStyle w:val="35"/>
                    <w:numPr>
                      <w:ilvl w:val="0"/>
                      <w:numId w:val="0"/>
                    </w:numPr>
                    <w:spacing w:line="240" w:lineRule="auto"/>
                    <w:jc w:val="center"/>
                    <w:rPr>
                      <w:rFonts w:hint="eastAsia" w:eastAsia="宋体" w:cs="Times New Roman"/>
                      <w:color w:val="FF0000"/>
                      <w:vertAlign w:val="baseline"/>
                      <w:lang w:val="en-US" w:eastAsia="zh-CN"/>
                    </w:rPr>
                  </w:pPr>
                </w:p>
              </w:tc>
              <w:tc>
                <w:tcPr>
                  <w:tcW w:w="36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eastAsia="宋体" w:cs="Times New Roman"/>
                      <w:color w:val="FF0000"/>
                      <w:vertAlign w:val="baseline"/>
                      <w:lang w:val="en-US" w:eastAsia="zh-CN"/>
                    </w:rPr>
                  </w:pPr>
                  <w:r>
                    <w:rPr>
                      <w:rFonts w:hint="eastAsia" w:eastAsia="宋体" w:cs="Times New Roman"/>
                      <w:color w:val="FF0000"/>
                      <w:vertAlign w:val="baseline"/>
                      <w:lang w:val="en-US" w:eastAsia="zh-CN"/>
                    </w:rPr>
                    <w:t>化工集中区（A区）化工：1、排放含重金属、高盐废水或难降解高浓度有机废水，且难以有效处置的项目；</w:t>
                  </w:r>
                </w:p>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eastAsia="宋体" w:cs="Times New Roman"/>
                      <w:color w:val="FF0000"/>
                      <w:vertAlign w:val="baseline"/>
                      <w:lang w:val="en-US" w:eastAsia="zh-CN"/>
                    </w:rPr>
                  </w:pPr>
                  <w:r>
                    <w:rPr>
                      <w:rFonts w:hint="eastAsia" w:eastAsia="宋体" w:cs="Times New Roman"/>
                      <w:color w:val="FF0000"/>
                      <w:vertAlign w:val="baseline"/>
                      <w:lang w:val="en-US" w:eastAsia="zh-CN"/>
                    </w:rPr>
                    <w:t>2、排放恶臭异味或高浓度有机废气，且难以有效处置的项目。</w:t>
                  </w:r>
                </w:p>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3、化工集中区距离天工开物森林公园100米范围内不得建设产排废气的设施和厂房</w:t>
                  </w:r>
                </w:p>
              </w:tc>
              <w:tc>
                <w:tcPr>
                  <w:tcW w:w="2141"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项目不排放重金属、高盐废水或难降解高浓度有机废水项目；不排放恶臭及高浓度有机废气；不位于天工开物森林公园100内</w:t>
                  </w:r>
                </w:p>
              </w:tc>
              <w:tc>
                <w:tcPr>
                  <w:tcW w:w="654"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pStyle w:val="35"/>
                    <w:numPr>
                      <w:ilvl w:val="0"/>
                      <w:numId w:val="0"/>
                    </w:numPr>
                    <w:spacing w:line="240" w:lineRule="auto"/>
                    <w:jc w:val="center"/>
                    <w:rPr>
                      <w:rFonts w:hint="eastAsia" w:eastAsia="宋体" w:cs="Times New Roman"/>
                      <w:color w:val="FF0000"/>
                      <w:vertAlign w:val="baseline"/>
                      <w:lang w:val="en-US" w:eastAsia="zh-CN"/>
                    </w:rPr>
                  </w:pPr>
                </w:p>
              </w:tc>
              <w:tc>
                <w:tcPr>
                  <w:tcW w:w="36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eastAsia="宋体" w:cs="Times New Roman"/>
                      <w:color w:val="FF0000"/>
                      <w:vertAlign w:val="baseline"/>
                      <w:lang w:val="en-US" w:eastAsia="zh-CN"/>
                    </w:rPr>
                  </w:pPr>
                  <w:r>
                    <w:rPr>
                      <w:rFonts w:hint="eastAsia" w:eastAsia="宋体" w:cs="Times New Roman"/>
                      <w:color w:val="FF0000"/>
                      <w:vertAlign w:val="baseline"/>
                      <w:lang w:val="en-US" w:eastAsia="zh-CN"/>
                    </w:rPr>
                    <w:t>化工集中区（B区）化工冶炼：1、排放含重金属、高盐废水或难降解高浓度有机废水，且难以有效处置的项目；</w:t>
                  </w:r>
                </w:p>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eastAsia="宋体" w:cs="Times New Roman"/>
                      <w:color w:val="FF0000"/>
                      <w:vertAlign w:val="baseline"/>
                      <w:lang w:val="en-US" w:eastAsia="zh-CN"/>
                    </w:rPr>
                  </w:pPr>
                  <w:r>
                    <w:rPr>
                      <w:rFonts w:hint="eastAsia" w:eastAsia="宋体" w:cs="Times New Roman"/>
                      <w:color w:val="FF0000"/>
                      <w:vertAlign w:val="baseline"/>
                      <w:lang w:val="en-US" w:eastAsia="zh-CN"/>
                    </w:rPr>
                    <w:t>2、排放恶臭异味或高浓度有机废气，且难以有效处置的项目。</w:t>
                  </w:r>
                </w:p>
              </w:tc>
              <w:tc>
                <w:tcPr>
                  <w:tcW w:w="2141"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项目不排放重金属、高盐废水或难降解高浓度有机废水项目；不排放恶臭及高浓度有机废气</w:t>
                  </w:r>
                </w:p>
              </w:tc>
              <w:tc>
                <w:tcPr>
                  <w:tcW w:w="654"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pStyle w:val="35"/>
                    <w:numPr>
                      <w:ilvl w:val="0"/>
                      <w:numId w:val="0"/>
                    </w:numPr>
                    <w:spacing w:line="240" w:lineRule="auto"/>
                    <w:jc w:val="center"/>
                    <w:rPr>
                      <w:rFonts w:hint="eastAsia" w:eastAsia="宋体" w:cs="Times New Roman"/>
                      <w:color w:val="FF0000"/>
                      <w:vertAlign w:val="baseline"/>
                      <w:lang w:val="en-US" w:eastAsia="zh-CN"/>
                    </w:rPr>
                  </w:pPr>
                </w:p>
              </w:tc>
              <w:tc>
                <w:tcPr>
                  <w:tcW w:w="36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eastAsia="宋体" w:cs="Times New Roman"/>
                      <w:color w:val="FF0000"/>
                      <w:vertAlign w:val="baseline"/>
                      <w:lang w:val="en-US" w:eastAsia="zh-CN"/>
                    </w:rPr>
                  </w:pPr>
                  <w:r>
                    <w:rPr>
                      <w:rFonts w:hint="eastAsia" w:eastAsia="宋体" w:cs="Times New Roman"/>
                      <w:color w:val="FF0000"/>
                      <w:vertAlign w:val="baseline"/>
                      <w:lang w:val="en-US" w:eastAsia="zh-CN"/>
                    </w:rPr>
                    <w:t>机械制造：燃煤型砂轮项目</w:t>
                  </w:r>
                </w:p>
              </w:tc>
              <w:tc>
                <w:tcPr>
                  <w:tcW w:w="2141"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不属于该项目</w:t>
                  </w:r>
                </w:p>
              </w:tc>
              <w:tc>
                <w:tcPr>
                  <w:tcW w:w="654"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pStyle w:val="35"/>
                    <w:numPr>
                      <w:ilvl w:val="0"/>
                      <w:numId w:val="0"/>
                    </w:numPr>
                    <w:spacing w:line="240" w:lineRule="auto"/>
                    <w:jc w:val="center"/>
                    <w:rPr>
                      <w:rFonts w:hint="eastAsia" w:eastAsia="宋体" w:cs="Times New Roman"/>
                      <w:color w:val="FF0000"/>
                      <w:vertAlign w:val="baseline"/>
                      <w:lang w:val="en-US" w:eastAsia="zh-CN"/>
                    </w:rPr>
                  </w:pPr>
                </w:p>
              </w:tc>
              <w:tc>
                <w:tcPr>
                  <w:tcW w:w="36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eastAsia="宋体" w:cs="Times New Roman"/>
                      <w:color w:val="FF0000"/>
                      <w:vertAlign w:val="baseline"/>
                      <w:lang w:val="en-US" w:eastAsia="zh-CN"/>
                    </w:rPr>
                  </w:pPr>
                  <w:r>
                    <w:rPr>
                      <w:rFonts w:hint="eastAsia" w:eastAsia="宋体" w:cs="Times New Roman"/>
                      <w:color w:val="FF0000"/>
                      <w:vertAlign w:val="baseline"/>
                      <w:lang w:val="en-US" w:eastAsia="zh-CN"/>
                    </w:rPr>
                    <w:t>再生资源利用：新建废铅酸蓄电池综合利用项目</w:t>
                  </w:r>
                </w:p>
              </w:tc>
              <w:tc>
                <w:tcPr>
                  <w:tcW w:w="2141"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不属于该项目</w:t>
                  </w:r>
                </w:p>
              </w:tc>
              <w:tc>
                <w:tcPr>
                  <w:tcW w:w="654" w:type="dxa"/>
                  <w:vAlign w:val="center"/>
                </w:tcPr>
                <w:p>
                  <w:pPr>
                    <w:pStyle w:val="35"/>
                    <w:numPr>
                      <w:ilvl w:val="0"/>
                      <w:numId w:val="0"/>
                    </w:numPr>
                    <w:spacing w:line="240" w:lineRule="auto"/>
                    <w:jc w:val="center"/>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bl>
          <w:p>
            <w:pPr>
              <w:numPr>
                <w:ilvl w:val="0"/>
                <w:numId w:val="0"/>
              </w:numPr>
              <w:autoSpaceDE w:val="0"/>
              <w:autoSpaceDN w:val="0"/>
              <w:adjustRightInd w:val="0"/>
              <w:snapToGrid w:val="0"/>
              <w:spacing w:line="360" w:lineRule="auto"/>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（3）与《江西奉新高新技术产业园区调区规划环境影响报告书》环评审查意见相符性</w:t>
            </w:r>
          </w:p>
          <w:p>
            <w:pPr>
              <w:numPr>
                <w:ilvl w:val="0"/>
                <w:numId w:val="0"/>
              </w:numPr>
              <w:jc w:val="center"/>
              <w:rPr>
                <w:rFonts w:hint="default"/>
                <w:b w:val="0"/>
                <w:bCs w:val="0"/>
                <w:color w:val="FF0000"/>
                <w:lang w:val="en-US" w:eastAsia="zh-CN"/>
              </w:rPr>
            </w:pPr>
            <w:r>
              <w:rPr>
                <w:rFonts w:hint="eastAsia"/>
                <w:b w:val="0"/>
                <w:bCs w:val="0"/>
                <w:color w:val="FF0000"/>
                <w:lang w:val="en-US" w:eastAsia="zh-CN"/>
              </w:rPr>
              <w:t>表1-4 与园区规划环评审查意见相符性分析</w:t>
            </w:r>
          </w:p>
          <w:tbl>
            <w:tblPr>
              <w:tblStyle w:val="58"/>
              <w:tblW w:w="7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3232"/>
              <w:gridCol w:w="2168"/>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序号</w:t>
                  </w:r>
                </w:p>
              </w:tc>
              <w:tc>
                <w:tcPr>
                  <w:tcW w:w="3232"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审查意见</w:t>
                  </w:r>
                </w:p>
              </w:tc>
              <w:tc>
                <w:tcPr>
                  <w:tcW w:w="21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项目情况</w:t>
                  </w:r>
                </w:p>
              </w:tc>
              <w:tc>
                <w:tcPr>
                  <w:tcW w:w="692"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1、规划所包含的重大建设项目环评要求</w:t>
                  </w:r>
                </w:p>
              </w:tc>
              <w:tc>
                <w:tcPr>
                  <w:tcW w:w="3232"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下阶段项目环评重点放在论证项目与“三线一单”、园区内外居民区环境空气影响分析、园区纳污水体地表水环境影响分析、地下水环境影响分析、防护距离设置、环境风险影响分析、污染防治措施等方面。在建设项目符合园区产业定位和布局前提下，建设项目环境影响评价时可适当简化部分内容，主要包括区域环境质量现状调查与评价、规划选址合理性分析、清洁生产和循环经济、公众参与等。</w:t>
                  </w:r>
                </w:p>
              </w:tc>
              <w:tc>
                <w:tcPr>
                  <w:tcW w:w="21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本项目“三线一单”、园区内外居民区环境空气影响分析、园区纳污水体地表水环境影响分析、地下水环境影响分析、防护距离设置、环境风险影响分析、污染防治措施等方面均进行相应分析；项目选址合理、运营期“三废”进行相应处理后均可达标排放。</w:t>
                  </w:r>
                </w:p>
              </w:tc>
              <w:tc>
                <w:tcPr>
                  <w:tcW w:w="692"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2、环境管理、检测及跟踪评价</w:t>
                  </w:r>
                </w:p>
              </w:tc>
              <w:tc>
                <w:tcPr>
                  <w:tcW w:w="3232"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园区管理部门应制定环境管理计划，建立有效的环境监控体系，实现园区环境目标。对园区规划实施后不同阶段环境影响进行跟踪评价，掌握规划实施后环境变化趋势。</w:t>
                  </w:r>
                </w:p>
              </w:tc>
              <w:tc>
                <w:tcPr>
                  <w:tcW w:w="21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项目建设单位协助园区管理部门制定的环境管理计划，并进行相应跟踪检测。</w:t>
                  </w:r>
                </w:p>
              </w:tc>
              <w:tc>
                <w:tcPr>
                  <w:tcW w:w="692"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3、推动区域减排、实现总量控制目标</w:t>
                  </w:r>
                </w:p>
              </w:tc>
              <w:tc>
                <w:tcPr>
                  <w:tcW w:w="3232" w:type="dxa"/>
                  <w:vAlign w:val="center"/>
                </w:tcPr>
                <w:p>
                  <w:pPr>
                    <w:pStyle w:val="24"/>
                    <w:spacing w:before="178" w:line="240" w:lineRule="auto"/>
                    <w:ind w:right="26"/>
                    <w:jc w:val="center"/>
                    <w:rPr>
                      <w:rFonts w:hint="default" w:eastAsia="宋体" w:cs="Times New Roman"/>
                      <w:color w:val="FF0000"/>
                      <w:vertAlign w:val="baseline"/>
                      <w:lang w:val="en-US" w:eastAsia="zh-CN"/>
                    </w:rPr>
                  </w:pPr>
                  <w:r>
                    <w:rPr>
                      <w:rFonts w:hint="eastAsia" w:ascii="Calibri" w:hAnsi="Calibri" w:eastAsia="宋体" w:cs="Times New Roman"/>
                      <w:color w:val="FF0000"/>
                      <w:kern w:val="2"/>
                      <w:sz w:val="21"/>
                      <w:szCs w:val="22"/>
                      <w:vertAlign w:val="baseline"/>
                      <w:lang w:val="en-US" w:eastAsia="zh-CN" w:bidi="ar-SA"/>
                    </w:rPr>
                    <w:t>奉新县应将污染物总量控制指标纳入该行政区经济社会发展“十四五”规划，制定年度减排计划并严格执行，全面推进奉新县环境污染治理计划。</w:t>
                  </w:r>
                </w:p>
              </w:tc>
              <w:tc>
                <w:tcPr>
                  <w:tcW w:w="21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本项目运营期“三废”经相应措施处理后均可达标排放；项目污染物排放总量按照相关要求进行申请。</w:t>
                  </w:r>
                </w:p>
              </w:tc>
              <w:tc>
                <w:tcPr>
                  <w:tcW w:w="692"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4、园区产业准入管理要求</w:t>
                  </w:r>
                </w:p>
              </w:tc>
              <w:tc>
                <w:tcPr>
                  <w:tcW w:w="3232" w:type="dxa"/>
                  <w:vAlign w:val="center"/>
                </w:tcPr>
                <w:p>
                  <w:pPr>
                    <w:pStyle w:val="24"/>
                    <w:spacing w:before="178" w:line="240" w:lineRule="auto"/>
                    <w:ind w:right="26"/>
                    <w:jc w:val="center"/>
                    <w:rPr>
                      <w:rFonts w:hint="default" w:eastAsia="宋体" w:cs="Times New Roman"/>
                      <w:color w:val="FF0000"/>
                      <w:vertAlign w:val="baseline"/>
                      <w:lang w:val="en-US" w:eastAsia="zh-CN"/>
                    </w:rPr>
                  </w:pPr>
                  <w:r>
                    <w:rPr>
                      <w:rFonts w:hint="eastAsia" w:ascii="Calibri" w:hAnsi="Calibri" w:eastAsia="宋体" w:cs="Times New Roman"/>
                      <w:color w:val="FF0000"/>
                      <w:kern w:val="2"/>
                      <w:sz w:val="21"/>
                      <w:szCs w:val="22"/>
                      <w:vertAlign w:val="baseline"/>
                      <w:lang w:val="en-US" w:eastAsia="zh-CN" w:bidi="ar-SA"/>
                    </w:rPr>
                    <w:t>工业园在开发建设、管理过程中，对拟入园项目必须按照其产业规划的要求和园区环境准入管理的要求进行筛选，严格新建项目的环保准入，推动各企业落实环境影响评价制度和排污许可证制度。</w:t>
                  </w:r>
                </w:p>
              </w:tc>
              <w:tc>
                <w:tcPr>
                  <w:tcW w:w="2168"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项目为鼓励类产业，符合园区准入条件及负面准入清单。</w:t>
                  </w:r>
                </w:p>
              </w:tc>
              <w:tc>
                <w:tcPr>
                  <w:tcW w:w="692" w:type="dxa"/>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相符</w:t>
                  </w:r>
                </w:p>
              </w:tc>
            </w:tr>
          </w:tbl>
          <w:p>
            <w:pPr>
              <w:pStyle w:val="34"/>
              <w:jc w:val="left"/>
              <w:rPr>
                <w:rFonts w:hint="default"/>
                <w:lang w:val="en-US" w:eastAsia="zh-CN"/>
              </w:rPr>
            </w:pPr>
          </w:p>
          <w:p>
            <w:pPr>
              <w:rPr>
                <w:rFonts w:hint="eastAsia"/>
                <w:lang w:val="en-US" w:eastAsia="zh-CN"/>
              </w:rPr>
            </w:pPr>
          </w:p>
          <w:p>
            <w:pPr>
              <w:pStyle w:val="34"/>
              <w:rPr>
                <w:rFonts w:hint="eastAsia"/>
                <w:lang w:val="en-US" w:eastAsia="zh-CN"/>
              </w:rPr>
            </w:pPr>
          </w:p>
          <w:p>
            <w:pPr>
              <w:pStyle w:val="35"/>
              <w:rPr>
                <w:rFonts w:hint="eastAsia"/>
                <w:lang w:val="en-US" w:eastAsia="zh-CN"/>
              </w:rPr>
            </w:pPr>
          </w:p>
          <w:p>
            <w:pPr>
              <w:rPr>
                <w:rFonts w:hint="eastAsia"/>
                <w:lang w:val="en-US" w:eastAsia="zh-CN"/>
              </w:rPr>
            </w:pPr>
          </w:p>
          <w:p>
            <w:pPr>
              <w:pStyle w:val="34"/>
              <w:rPr>
                <w:rFonts w:hint="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495" w:hRule="atLeast"/>
          <w:jc w:val="center"/>
        </w:trPr>
        <w:tc>
          <w:tcPr>
            <w:tcW w:w="1585"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kern w:val="0"/>
                <w:sz w:val="24"/>
                <w:szCs w:val="24"/>
              </w:rPr>
              <w:t>其他符合性分析</w:t>
            </w:r>
          </w:p>
        </w:tc>
        <w:tc>
          <w:tcPr>
            <w:tcW w:w="7306" w:type="dxa"/>
            <w:gridSpan w:val="3"/>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1、与项目产业政策符合性分析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rPr>
              <w:t>本项目为</w:t>
            </w:r>
            <w:r>
              <w:rPr>
                <w:rFonts w:hint="eastAsia" w:ascii="Times New Roman" w:hAnsi="Times New Roman" w:eastAsia="宋体" w:cs="Times New Roman"/>
                <w:color w:val="auto"/>
                <w:sz w:val="24"/>
                <w:szCs w:val="24"/>
                <w:lang w:val="en-US" w:eastAsia="zh-CN"/>
              </w:rPr>
              <w:t>C3099</w:t>
            </w:r>
            <w:r>
              <w:rPr>
                <w:rFonts w:hint="eastAsia" w:ascii="Times New Roman" w:hAnsi="Times New Roman" w:eastAsia="宋体" w:cs="Times New Roman"/>
                <w:color w:val="auto"/>
                <w:sz w:val="24"/>
                <w:szCs w:val="24"/>
                <w:lang w:eastAsia="zh-CN"/>
              </w:rPr>
              <w:t>其他非金属矿物制品制造，主要进行氟石膏、天然石膏、石灰石粉磨加工制造生产，根据国家发改委发布的</w:t>
            </w:r>
            <w:r>
              <w:rPr>
                <w:rFonts w:hint="default" w:ascii="Times New Roman" w:hAnsi="Times New Roman" w:eastAsia="宋体" w:cs="Times New Roman"/>
                <w:color w:val="auto"/>
                <w:sz w:val="24"/>
                <w:szCs w:val="24"/>
              </w:rPr>
              <w:t>《产业结构调整指导目</w:t>
            </w:r>
            <w:r>
              <w:rPr>
                <w:rFonts w:hint="default" w:ascii="Times New Roman" w:hAnsi="Times New Roman" w:eastAsia="宋体" w:cs="Times New Roman"/>
                <w:color w:val="auto"/>
                <w:kern w:val="0"/>
                <w:sz w:val="24"/>
                <w:szCs w:val="24"/>
                <w:lang w:eastAsia="zh-CN"/>
              </w:rPr>
              <w:t>录（</w:t>
            </w:r>
            <w:r>
              <w:rPr>
                <w:rFonts w:hint="default" w:ascii="Times New Roman" w:hAnsi="Times New Roman" w:eastAsia="宋体" w:cs="Times New Roman"/>
                <w:color w:val="auto"/>
                <w:kern w:val="0"/>
                <w:sz w:val="24"/>
                <w:szCs w:val="24"/>
                <w:lang w:val="en-US" w:eastAsia="zh-CN"/>
              </w:rPr>
              <w:t>2</w:t>
            </w:r>
            <w:r>
              <w:rPr>
                <w:rFonts w:hint="eastAsia" w:ascii="Times New Roman" w:hAnsi="Times New Roman" w:eastAsia="宋体" w:cs="Times New Roman"/>
                <w:color w:val="auto"/>
                <w:kern w:val="0"/>
                <w:sz w:val="24"/>
                <w:szCs w:val="24"/>
                <w:lang w:val="en-US" w:eastAsia="zh-CN"/>
              </w:rPr>
              <w:t>024</w:t>
            </w:r>
            <w:r>
              <w:rPr>
                <w:rFonts w:hint="default" w:ascii="Times New Roman" w:hAnsi="Times New Roman" w:eastAsia="宋体" w:cs="Times New Roman"/>
                <w:color w:val="auto"/>
                <w:kern w:val="0"/>
                <w:sz w:val="24"/>
                <w:szCs w:val="24"/>
                <w:lang w:eastAsia="zh-CN"/>
              </w:rPr>
              <w:t>年本）</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相关文件，本项目属于</w:t>
            </w:r>
            <w:r>
              <w:rPr>
                <w:rFonts w:hint="default" w:ascii="Times New Roman" w:hAnsi="Times New Roman" w:eastAsia="宋体" w:cs="Times New Roman"/>
                <w:color w:val="auto"/>
                <w:kern w:val="0"/>
                <w:sz w:val="24"/>
                <w:szCs w:val="24"/>
              </w:rPr>
              <w:t>鼓励类</w:t>
            </w:r>
            <w:r>
              <w:rPr>
                <w:rFonts w:hint="eastAsia" w:ascii="Times New Roman" w:hAnsi="Times New Roman" w:eastAsia="宋体" w:cs="Times New Roman"/>
                <w:color w:val="auto"/>
                <w:kern w:val="0"/>
                <w:sz w:val="24"/>
                <w:szCs w:val="24"/>
                <w:lang w:eastAsia="zh-CN"/>
              </w:rPr>
              <w:t>“十二建材第</w:t>
            </w:r>
            <w:r>
              <w:rPr>
                <w:rFonts w:hint="eastAsia" w:ascii="Times New Roman" w:hAnsi="Times New Roman" w:eastAsia="宋体" w:cs="Times New Roman"/>
                <w:color w:val="auto"/>
                <w:kern w:val="0"/>
                <w:sz w:val="24"/>
                <w:szCs w:val="24"/>
                <w:lang w:val="en-US" w:eastAsia="zh-CN"/>
              </w:rPr>
              <w:t>9条利用矿山尾矿、建筑废弃物、工业废弃物、城市污泥、江河湖（渠）海淤泥等大宗废弃物无害化生产制备砂石骨料、结构混凝土用高强陶粒、功能陶粒、墙体材料等建材及其工艺技术装备开发</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项目</w:t>
            </w:r>
            <w:r>
              <w:rPr>
                <w:rFonts w:hint="default"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eastAsia="zh-CN"/>
              </w:rPr>
              <w:t>根据《市场准入负面清单（</w:t>
            </w:r>
            <w:r>
              <w:rPr>
                <w:rFonts w:hint="eastAsia" w:ascii="Times New Roman" w:hAnsi="Times New Roman" w:eastAsia="宋体" w:cs="Times New Roman"/>
                <w:color w:val="auto"/>
                <w:kern w:val="0"/>
                <w:sz w:val="24"/>
                <w:szCs w:val="24"/>
                <w:lang w:val="en-US" w:eastAsia="zh-CN"/>
              </w:rPr>
              <w:t>2020年版</w:t>
            </w:r>
            <w:r>
              <w:rPr>
                <w:rFonts w:hint="eastAsia" w:ascii="Times New Roman" w:hAnsi="Times New Roman" w:eastAsia="宋体" w:cs="Times New Roman"/>
                <w:color w:val="auto"/>
                <w:kern w:val="0"/>
                <w:sz w:val="24"/>
                <w:szCs w:val="24"/>
                <w:lang w:eastAsia="zh-CN"/>
              </w:rPr>
              <w:t>）》的内容，本项目不在该负面清单范围内，</w:t>
            </w:r>
            <w:r>
              <w:rPr>
                <w:rFonts w:hint="eastAsia" w:ascii="Times New Roman" w:hAnsi="Times New Roman" w:eastAsia="宋体" w:cs="Times New Roman"/>
                <w:color w:val="auto"/>
                <w:kern w:val="0"/>
                <w:sz w:val="24"/>
                <w:szCs w:val="24"/>
                <w:lang w:val="en-US" w:eastAsia="zh-CN"/>
              </w:rPr>
              <w:t>因</w:t>
            </w:r>
            <w:r>
              <w:rPr>
                <w:rFonts w:hint="default" w:ascii="Times New Roman" w:hAnsi="Times New Roman" w:eastAsia="宋体" w:cs="Times New Roman"/>
                <w:color w:val="auto"/>
                <w:kern w:val="0"/>
                <w:sz w:val="24"/>
                <w:szCs w:val="24"/>
                <w:lang w:eastAsia="zh-CN"/>
              </w:rPr>
              <w:t>此</w:t>
            </w:r>
            <w:r>
              <w:rPr>
                <w:rFonts w:hint="default" w:ascii="Times New Roman" w:hAnsi="Times New Roman" w:eastAsia="宋体" w:cs="Times New Roman"/>
                <w:color w:val="auto"/>
                <w:kern w:val="0"/>
                <w:sz w:val="24"/>
                <w:szCs w:val="24"/>
              </w:rPr>
              <w:t>本项目符合国家有关法律、法规和政策，为允许类项目</w:t>
            </w:r>
            <w:r>
              <w:rPr>
                <w:rFonts w:hint="eastAsia" w:ascii="Times New Roman" w:hAnsi="Times New Roman" w:eastAsia="宋体" w:cs="Times New Roman"/>
                <w:color w:val="auto"/>
                <w:kern w:val="0"/>
                <w:sz w:val="24"/>
                <w:szCs w:val="24"/>
                <w:lang w:eastAsia="zh-CN"/>
              </w:rPr>
              <w:t>。同时</w:t>
            </w:r>
            <w:r>
              <w:rPr>
                <w:rFonts w:hint="eastAsia" w:ascii="Times New Roman" w:hAnsi="Times New Roman" w:eastAsia="宋体" w:cs="Times New Roman"/>
                <w:color w:val="auto"/>
                <w:kern w:val="0"/>
                <w:sz w:val="24"/>
                <w:szCs w:val="24"/>
                <w:lang w:val="en-US" w:eastAsia="zh-CN"/>
              </w:rPr>
              <w:t>本项目</w:t>
            </w:r>
            <w:r>
              <w:rPr>
                <w:rFonts w:hint="default" w:ascii="Times New Roman" w:hAnsi="Times New Roman" w:eastAsia="宋体" w:cs="Times New Roman"/>
                <w:color w:val="auto"/>
                <w:kern w:val="0"/>
                <w:sz w:val="24"/>
                <w:szCs w:val="24"/>
                <w:lang w:eastAsia="zh-CN"/>
              </w:rPr>
              <w:t>已在</w:t>
            </w:r>
            <w:r>
              <w:rPr>
                <w:rFonts w:hint="eastAsia" w:ascii="Times New Roman" w:hAnsi="Times New Roman" w:eastAsia="宋体" w:cs="Times New Roman"/>
                <w:color w:val="auto"/>
                <w:kern w:val="0"/>
                <w:sz w:val="24"/>
                <w:szCs w:val="24"/>
                <w:lang w:eastAsia="zh-CN"/>
              </w:rPr>
              <w:t>奉新县发展和改革委员会</w:t>
            </w:r>
            <w:r>
              <w:rPr>
                <w:rFonts w:hint="default" w:ascii="Times New Roman" w:hAnsi="Times New Roman" w:eastAsia="宋体" w:cs="Times New Roman"/>
                <w:color w:val="auto"/>
                <w:kern w:val="0"/>
                <w:sz w:val="24"/>
                <w:szCs w:val="24"/>
                <w:lang w:eastAsia="zh-CN"/>
              </w:rPr>
              <w:t>取得备案证明（项目代码为</w:t>
            </w:r>
            <w:r>
              <w:rPr>
                <w:rFonts w:hint="eastAsia" w:ascii="Times New Roman" w:hAnsi="Times New Roman" w:eastAsia="宋体" w:cs="Times New Roman"/>
                <w:color w:val="auto"/>
                <w:kern w:val="0"/>
                <w:sz w:val="24"/>
                <w:szCs w:val="24"/>
                <w:lang w:val="en-US" w:eastAsia="zh-CN"/>
              </w:rPr>
              <w:t>2401-360921-04-01-398392</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，符合现行国家和地方的产业政策要求</w:t>
            </w:r>
            <w:r>
              <w:rPr>
                <w:rFonts w:hint="default" w:ascii="Times New Roman" w:hAnsi="Times New Roman" w:eastAsia="宋体" w:cs="Times New Roman"/>
                <w:color w:val="auto"/>
                <w:sz w:val="24"/>
                <w:szCs w:val="24"/>
              </w:rPr>
              <w:t>。</w:t>
            </w:r>
          </w:p>
          <w:p>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2、项目选址合理性分析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（1）用地性质</w:t>
            </w:r>
          </w:p>
          <w:p>
            <w:pPr>
              <w:spacing w:line="360" w:lineRule="auto"/>
              <w:ind w:firstLine="480" w:firstLineChars="200"/>
              <w:rPr>
                <w:rFonts w:hint="default" w:eastAsia="宋体"/>
                <w:color w:val="FF0000"/>
                <w:shd w:val="clear" w:color="auto" w:fill="auto"/>
                <w:lang w:val="en-US" w:eastAsia="zh-CN"/>
              </w:rPr>
            </w:pPr>
            <w:r>
              <w:rPr>
                <w:rFonts w:hint="default" w:ascii="Times New Roman" w:hAnsi="Times New Roman" w:eastAsia="宋体" w:cs="Times New Roman"/>
                <w:color w:val="auto"/>
                <w:sz w:val="24"/>
                <w:szCs w:val="24"/>
                <w:lang w:val="en-US" w:eastAsia="zh-CN"/>
              </w:rPr>
              <w:t>该项目租赁</w:t>
            </w:r>
            <w:r>
              <w:rPr>
                <w:rFonts w:hint="eastAsia" w:ascii="Times New Roman" w:hAnsi="Times New Roman" w:eastAsia="宋体" w:cs="Times New Roman"/>
                <w:color w:val="auto"/>
                <w:kern w:val="0"/>
                <w:sz w:val="24"/>
                <w:szCs w:val="24"/>
                <w:lang w:val="en-US" w:eastAsia="zh-CN"/>
              </w:rPr>
              <w:t>江西省宜春市奉新县高新技术产业园区广源路618号陆丰管业9号厂房</w:t>
            </w:r>
            <w:r>
              <w:rPr>
                <w:rFonts w:hint="eastAsia" w:ascii="Times New Roman" w:hAnsi="Times New Roman" w:cs="Times New Roman"/>
                <w:color w:val="auto"/>
                <w:sz w:val="24"/>
                <w:szCs w:val="24"/>
                <w:lang w:val="en-US" w:eastAsia="zh-CN"/>
              </w:rPr>
              <w:t>进行生产（详见附件三）,陆丰管业厂区位于奉贤县高新技术产业园冯田片区范围内，故项目建设</w:t>
            </w:r>
            <w:r>
              <w:rPr>
                <w:rFonts w:hint="eastAsia" w:ascii="Times New Roman" w:hAnsi="Times New Roman" w:eastAsia="宋体" w:cs="Times New Roman"/>
                <w:color w:val="auto"/>
                <w:kern w:val="0"/>
                <w:sz w:val="24"/>
                <w:szCs w:val="24"/>
                <w:lang w:val="en-US" w:eastAsia="zh-CN"/>
              </w:rPr>
              <w:t>用地为工业用地</w:t>
            </w:r>
            <w:r>
              <w:rPr>
                <w:rFonts w:hint="eastAsia" w:ascii="Times New Roman" w:hAnsi="Times New Roman" w:cs="Times New Roman"/>
                <w:color w:val="auto"/>
                <w:sz w:val="24"/>
                <w:szCs w:val="24"/>
                <w:shd w:val="clear" w:color="auto" w:fill="auto"/>
                <w:lang w:val="en-US" w:eastAsia="zh-CN"/>
              </w:rPr>
              <w:t>。</w:t>
            </w:r>
            <w:r>
              <w:rPr>
                <w:rFonts w:hint="eastAsia" w:ascii="Times New Roman" w:hAnsi="Times New Roman" w:cs="Times New Roman"/>
                <w:color w:val="auto"/>
                <w:sz w:val="24"/>
                <w:szCs w:val="24"/>
                <w:lang w:val="en-US" w:eastAsia="zh-CN"/>
              </w:rPr>
              <w:t>本项目用地性质符合要求</w:t>
            </w:r>
            <w:r>
              <w:rPr>
                <w:rFonts w:hint="eastAsia"/>
                <w:color w:val="auto"/>
                <w:shd w:val="clear" w:color="auto" w:fill="auto"/>
                <w:lang w:val="en-US" w:eastAsia="zh-CN"/>
              </w:rPr>
              <w:t>。</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（2）项目选址与外环境兼容性合理性分析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项目选址不属于生活饮用水源地和地下水补给区、风景名胜区、温泉疗养区、水产养殖区、基本农田保护区、自然保护区等需要特殊保护区域。本项目租赁</w:t>
            </w:r>
            <w:r>
              <w:rPr>
                <w:rFonts w:hint="eastAsia" w:ascii="Times New Roman" w:hAnsi="Times New Roman" w:eastAsia="宋体" w:cs="Times New Roman"/>
                <w:color w:val="auto"/>
                <w:kern w:val="0"/>
                <w:sz w:val="24"/>
                <w:szCs w:val="24"/>
                <w:lang w:val="en-US" w:eastAsia="zh-CN"/>
              </w:rPr>
              <w:t>宜春市奉新县高新技术产业园区广源路618号陆丰管业9号厂房</w:t>
            </w:r>
            <w:r>
              <w:rPr>
                <w:rFonts w:hint="eastAsia" w:ascii="Times New Roman" w:hAnsi="Times New Roman" w:cs="Times New Roman"/>
                <w:color w:val="auto"/>
                <w:sz w:val="24"/>
                <w:szCs w:val="24"/>
                <w:lang w:val="en-US" w:eastAsia="zh-CN"/>
              </w:rPr>
              <w:t>进行生产</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FF0000"/>
                <w:sz w:val="24"/>
                <w:szCs w:val="24"/>
                <w:lang w:val="en-US" w:eastAsia="zh-CN"/>
              </w:rPr>
              <w:t>项目占地总面积为</w:t>
            </w:r>
            <w:r>
              <w:rPr>
                <w:rFonts w:hint="eastAsia" w:ascii="Times New Roman" w:hAnsi="Times New Roman" w:eastAsia="宋体" w:cs="Times New Roman"/>
                <w:color w:val="FF0000"/>
                <w:spacing w:val="-6"/>
                <w:sz w:val="24"/>
                <w:szCs w:val="24"/>
                <w:lang w:val="en-US" w:eastAsia="zh-CN"/>
              </w:rPr>
              <w:t>5460</w:t>
            </w:r>
            <w:r>
              <w:rPr>
                <w:rFonts w:hint="default" w:ascii="Times New Roman" w:hAnsi="Times New Roman" w:eastAsia="宋体" w:cs="Times New Roman"/>
                <w:color w:val="FF0000"/>
                <w:spacing w:val="-6"/>
                <w:sz w:val="24"/>
                <w:szCs w:val="24"/>
              </w:rPr>
              <w:t>m</w:t>
            </w:r>
            <w:r>
              <w:rPr>
                <w:rFonts w:hint="default" w:ascii="Times New Roman" w:hAnsi="Times New Roman" w:eastAsia="宋体" w:cs="Times New Roman"/>
                <w:color w:val="FF0000"/>
                <w:spacing w:val="-6"/>
                <w:sz w:val="24"/>
                <w:szCs w:val="24"/>
                <w:vertAlign w:val="superscript"/>
              </w:rPr>
              <w:t>2</w:t>
            </w:r>
            <w:r>
              <w:rPr>
                <w:rFonts w:hint="eastAsia" w:ascii="Times New Roman" w:hAnsi="Times New Roman" w:eastAsia="宋体" w:cs="Times New Roman"/>
                <w:color w:val="FF0000"/>
                <w:spacing w:val="-6"/>
                <w:sz w:val="24"/>
                <w:szCs w:val="24"/>
                <w:vertAlign w:val="baseline"/>
                <w:lang w:eastAsia="zh-CN"/>
              </w:rPr>
              <w:t>，建筑面积为</w:t>
            </w:r>
            <w:r>
              <w:rPr>
                <w:rFonts w:hint="eastAsia" w:ascii="Times New Roman" w:hAnsi="Times New Roman" w:eastAsia="宋体" w:cs="Times New Roman"/>
                <w:color w:val="FF0000"/>
                <w:spacing w:val="-6"/>
                <w:sz w:val="24"/>
                <w:szCs w:val="24"/>
                <w:vertAlign w:val="baseline"/>
                <w:lang w:val="en-US" w:eastAsia="zh-CN"/>
              </w:rPr>
              <w:t>4869.6</w:t>
            </w:r>
            <w:r>
              <w:rPr>
                <w:rFonts w:hint="default" w:ascii="Times New Roman" w:hAnsi="Times New Roman" w:eastAsia="宋体" w:cs="Times New Roman"/>
                <w:color w:val="FF0000"/>
                <w:spacing w:val="-6"/>
                <w:sz w:val="24"/>
                <w:szCs w:val="24"/>
              </w:rPr>
              <w:t>m</w:t>
            </w:r>
            <w:r>
              <w:rPr>
                <w:rFonts w:hint="default" w:ascii="Times New Roman" w:hAnsi="Times New Roman" w:eastAsia="宋体" w:cs="Times New Roman"/>
                <w:color w:val="FF0000"/>
                <w:spacing w:val="-6"/>
                <w:sz w:val="24"/>
                <w:szCs w:val="24"/>
                <w:vertAlign w:val="superscript"/>
              </w:rPr>
              <w:t>2</w:t>
            </w:r>
            <w:r>
              <w:rPr>
                <w:rFonts w:hint="eastAsia" w:ascii="Times New Roman" w:hAnsi="Times New Roman" w:eastAsia="宋体" w:cs="Times New Roman"/>
                <w:color w:val="FF0000"/>
                <w:spacing w:val="-6"/>
                <w:sz w:val="24"/>
                <w:szCs w:val="24"/>
                <w:vertAlign w:val="baseline"/>
                <w:lang w:val="en-US" w:eastAsia="zh-CN"/>
              </w:rPr>
              <w:t>。</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厂界四周四至中南侧为陆丰管业厂区雨水收集池；北侧为空置土地；西侧相隔一条马路为厂区生活区及江西紫宸科技有限公司，主要经营石墨及碳素制品制造；东侧相隔一条马路为江西陆丰新能源科技发展有限公司，主要经营范围为电池制造、电池销售、石墨及碳素制品制造等。厂界四周无其他高污染，高耗能</w:t>
            </w:r>
            <w:r>
              <w:rPr>
                <w:rFonts w:hint="default" w:ascii="Times New Roman" w:hAnsi="Times New Roman" w:eastAsia="宋体" w:cs="Times New Roman"/>
                <w:color w:val="auto"/>
                <w:sz w:val="24"/>
                <w:szCs w:val="24"/>
                <w:lang w:val="en-US" w:eastAsia="zh-CN"/>
              </w:rPr>
              <w:t>污染型企业，该项目租赁</w:t>
            </w:r>
            <w:r>
              <w:rPr>
                <w:rFonts w:hint="eastAsia" w:ascii="Times New Roman" w:hAnsi="Times New Roman" w:eastAsia="宋体" w:cs="Times New Roman"/>
                <w:color w:val="auto"/>
                <w:sz w:val="24"/>
                <w:szCs w:val="24"/>
                <w:lang w:val="en-US" w:eastAsia="zh-CN"/>
              </w:rPr>
              <w:t>奉新县高新技术产业园广源路618号陆丰管业9号厂房</w:t>
            </w:r>
            <w:r>
              <w:rPr>
                <w:rFonts w:hint="default" w:ascii="Times New Roman" w:hAnsi="Times New Roman" w:eastAsia="宋体" w:cs="Times New Roman"/>
                <w:color w:val="auto"/>
                <w:sz w:val="24"/>
                <w:szCs w:val="24"/>
                <w:lang w:val="en-US" w:eastAsia="zh-CN"/>
              </w:rPr>
              <w:t>，建成后将用于</w:t>
            </w:r>
            <w:r>
              <w:rPr>
                <w:rFonts w:hint="eastAsia" w:ascii="Times New Roman" w:hAnsi="Times New Roman" w:eastAsia="宋体" w:cs="Times New Roman"/>
                <w:color w:val="auto"/>
                <w:sz w:val="24"/>
                <w:szCs w:val="24"/>
                <w:lang w:val="en-US" w:eastAsia="zh-CN"/>
              </w:rPr>
              <w:t>年处理25万吨氟石膏、8万吨天然石膏及18万吨石灰石项目，生产过程中产生的污染物质经处理后达标排放，</w:t>
            </w:r>
            <w:r>
              <w:rPr>
                <w:rFonts w:hint="eastAsia" w:ascii="Times New Roman" w:hAnsi="Times New Roman" w:eastAsia="宋体" w:cs="Times New Roman"/>
                <w:color w:val="FF0000"/>
                <w:sz w:val="24"/>
                <w:szCs w:val="24"/>
                <w:lang w:val="en-US" w:eastAsia="zh-CN"/>
              </w:rPr>
              <w:t>且项目厂房外50m卫生防护距离内无环境敏感点。</w:t>
            </w:r>
            <w:r>
              <w:rPr>
                <w:rFonts w:hint="default" w:ascii="Times New Roman" w:hAnsi="Times New Roman" w:eastAsia="宋体" w:cs="Times New Roman"/>
                <w:color w:val="auto"/>
                <w:sz w:val="24"/>
                <w:szCs w:val="24"/>
                <w:lang w:val="en-US" w:eastAsia="zh-CN"/>
              </w:rPr>
              <w:t>项目与周边</w:t>
            </w:r>
            <w:r>
              <w:rPr>
                <w:rFonts w:hint="eastAsia" w:ascii="Times New Roman" w:hAnsi="Times New Roman" w:eastAsia="宋体" w:cs="Times New Roman"/>
                <w:color w:val="auto"/>
                <w:sz w:val="24"/>
                <w:szCs w:val="24"/>
                <w:lang w:val="en-US" w:eastAsia="zh-CN"/>
              </w:rPr>
              <w:t>环境</w:t>
            </w:r>
            <w:r>
              <w:rPr>
                <w:rFonts w:hint="default" w:ascii="Times New Roman" w:hAnsi="Times New Roman" w:eastAsia="宋体" w:cs="Times New Roman"/>
                <w:color w:val="auto"/>
                <w:sz w:val="24"/>
                <w:szCs w:val="24"/>
                <w:lang w:val="en-US" w:eastAsia="zh-CN"/>
              </w:rPr>
              <w:t>相容性较好。</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（3）环境影响程度</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根据工程分析确定的污染物源强，通过大气环境、水环境、声环境影响分析，项目建成后</w:t>
            </w:r>
            <w:r>
              <w:rPr>
                <w:rFonts w:hint="eastAsia" w:ascii="Times New Roman" w:hAnsi="Times New Roman" w:eastAsia="宋体" w:cs="Times New Roman"/>
                <w:color w:val="auto"/>
                <w:sz w:val="24"/>
                <w:szCs w:val="24"/>
                <w:lang w:val="en-US" w:eastAsia="zh-CN"/>
              </w:rPr>
              <w:t>生活污水经隔油池+化粪池预处理后通过生活区排口进园区污水管网入高新技术产业园区污水处理厂深度处理，车辆冲洗水经沉淀池处理后循环使用不外排，</w:t>
            </w:r>
            <w:r>
              <w:rPr>
                <w:rFonts w:hint="eastAsia" w:ascii="Times New Roman" w:hAnsi="Times New Roman" w:eastAsia="宋体" w:cs="Times New Roman"/>
                <w:color w:val="FF0000"/>
                <w:sz w:val="24"/>
                <w:szCs w:val="24"/>
                <w:lang w:val="en-US" w:eastAsia="zh-CN"/>
              </w:rPr>
              <w:t>初期雨水经厂区外自建雨水收集池收集后通过水泵抽入生产厂房洗车池内储存，经沉淀后回用于车辆冲洗及洒水抑尘；</w:t>
            </w:r>
            <w:r>
              <w:rPr>
                <w:rFonts w:hint="eastAsia" w:ascii="Times New Roman" w:hAnsi="Times New Roman" w:eastAsia="宋体" w:cs="Times New Roman"/>
                <w:color w:val="auto"/>
                <w:sz w:val="24"/>
                <w:szCs w:val="24"/>
                <w:lang w:val="en-US" w:eastAsia="zh-CN"/>
              </w:rPr>
              <w:t>破碎粉尘经负压收集+布袋除尘器处理后通过15m高DA001排气筒外排，投料粉尘经负压收集+布袋除尘器处理后通过15m高DA001排气筒外排，</w:t>
            </w:r>
            <w:r>
              <w:rPr>
                <w:rFonts w:hint="eastAsia" w:ascii="Times New Roman" w:hAnsi="Times New Roman" w:eastAsia="宋体" w:cs="Times New Roman"/>
                <w:color w:val="FF0000"/>
                <w:sz w:val="24"/>
                <w:szCs w:val="24"/>
                <w:lang w:val="en-US" w:eastAsia="zh-CN"/>
              </w:rPr>
              <w:t>研磨粉尘经密闭收集+脉冲除尘器处理后通过15m高DA001排气筒外排，</w:t>
            </w:r>
            <w:r>
              <w:rPr>
                <w:rFonts w:hint="eastAsia" w:ascii="Times New Roman" w:hAnsi="Times New Roman" w:eastAsia="宋体" w:cs="Times New Roman"/>
                <w:color w:val="auto"/>
                <w:sz w:val="24"/>
                <w:szCs w:val="24"/>
                <w:lang w:val="en-US" w:eastAsia="zh-CN"/>
              </w:rPr>
              <w:t>打包粉尘通过负压收集+布袋除尘器收集后通过15m高DA001排气筒外排，食堂油烟收集后引至楼顶排放；生活垃圾收集后交环卫部门处理，废布袋、废污泥等一般固废暂存于固废间后综合外售处理，废机油桶及废机油等危废收集后交有资质单位处理。上述</w:t>
            </w:r>
            <w:r>
              <w:rPr>
                <w:rFonts w:hint="default" w:ascii="Times New Roman" w:hAnsi="Times New Roman" w:eastAsia="宋体" w:cs="Times New Roman"/>
                <w:color w:val="auto"/>
                <w:sz w:val="24"/>
                <w:szCs w:val="24"/>
                <w:lang w:val="en-US" w:eastAsia="zh-CN"/>
              </w:rPr>
              <w:t>污染物</w:t>
            </w:r>
            <w:r>
              <w:rPr>
                <w:rFonts w:hint="eastAsia" w:ascii="Times New Roman" w:hAnsi="Times New Roman" w:eastAsia="宋体" w:cs="Times New Roman"/>
                <w:color w:val="auto"/>
                <w:sz w:val="24"/>
                <w:szCs w:val="24"/>
                <w:lang w:val="en-US" w:eastAsia="zh-CN"/>
              </w:rPr>
              <w:t>经处理后</w:t>
            </w:r>
            <w:r>
              <w:rPr>
                <w:rFonts w:hint="default" w:ascii="Times New Roman" w:hAnsi="Times New Roman" w:eastAsia="宋体" w:cs="Times New Roman"/>
                <w:color w:val="auto"/>
                <w:sz w:val="24"/>
                <w:szCs w:val="24"/>
                <w:lang w:val="en-US" w:eastAsia="zh-CN"/>
              </w:rPr>
              <w:t>达标排放</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对区域环境空气、水环境、声环境影响较小。因此项目实施后，其污染物排放对周围环境的影响不会改变所在地及其周围居民区的环境功能，其对周围环境无明显的环境影响。</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综上所述，本项目周边制约因素较少，符合相关保护条例和规范要求，用地性质符合相关规划，外环境良好，项目污染物在经过预防治理措施后能够达到相关标准要求，项目选址可行。</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、“三线一单”符合性分析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eastAsia="zh-CN"/>
              </w:rPr>
              <w:t>宜春市</w:t>
            </w:r>
            <w:r>
              <w:rPr>
                <w:rFonts w:hint="default" w:ascii="Times New Roman" w:hAnsi="Times New Roman" w:eastAsia="宋体" w:cs="Times New Roman"/>
                <w:color w:val="auto"/>
                <w:sz w:val="24"/>
                <w:szCs w:val="24"/>
              </w:rPr>
              <w:t>环境管控单元分布图</w:t>
            </w:r>
            <w:r>
              <w:rPr>
                <w:rFonts w:hint="default" w:ascii="Times New Roman" w:hAnsi="Times New Roman" w:eastAsia="宋体" w:cs="Times New Roman"/>
                <w:color w:val="auto"/>
                <w:sz w:val="24"/>
                <w:szCs w:val="24"/>
                <w:lang w:eastAsia="zh-CN"/>
              </w:rPr>
              <w:t>（附图</w:t>
            </w:r>
            <w:r>
              <w:rPr>
                <w:rFonts w:hint="eastAsia" w:ascii="Times New Roman" w:hAnsi="Times New Roman" w:eastAsia="宋体" w:cs="Times New Roman"/>
                <w:color w:val="auto"/>
                <w:sz w:val="24"/>
                <w:szCs w:val="24"/>
                <w:lang w:eastAsia="zh-CN"/>
              </w:rPr>
              <w:t>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，项目处于</w:t>
            </w:r>
            <w:r>
              <w:rPr>
                <w:rFonts w:hint="eastAsia" w:ascii="Times New Roman" w:hAnsi="Times New Roman" w:eastAsia="宋体" w:cs="Times New Roman"/>
                <w:color w:val="auto"/>
                <w:sz w:val="24"/>
                <w:szCs w:val="24"/>
                <w:lang w:eastAsia="zh-CN"/>
              </w:rPr>
              <w:t>宜春市奉新县重点管控单元</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（环境管控单元编码：</w:t>
            </w:r>
            <w:r>
              <w:rPr>
                <w:rFonts w:hint="default" w:ascii="Times New Roman" w:hAnsi="Times New Roman" w:eastAsia="宋体" w:cs="Times New Roman"/>
                <w:color w:val="auto"/>
                <w:kern w:val="2"/>
                <w:sz w:val="21"/>
                <w:szCs w:val="24"/>
                <w:lang w:val="en-US" w:eastAsia="zh-CN" w:bidi="ar-SA"/>
              </w:rPr>
              <w:t>ZH360</w:t>
            </w:r>
            <w:r>
              <w:rPr>
                <w:rFonts w:hint="eastAsia" w:ascii="Times New Roman" w:hAnsi="Times New Roman" w:eastAsia="宋体" w:cs="Times New Roman"/>
                <w:color w:val="auto"/>
                <w:kern w:val="2"/>
                <w:sz w:val="21"/>
                <w:szCs w:val="24"/>
                <w:lang w:val="en-US" w:eastAsia="zh-CN" w:bidi="ar-SA"/>
              </w:rPr>
              <w:t>92120003</w:t>
            </w:r>
            <w:r>
              <w:rPr>
                <w:rFonts w:hint="default" w:ascii="Times New Roman" w:hAnsi="Times New Roman" w:eastAsia="宋体" w:cs="Times New Roman"/>
                <w:color w:val="auto"/>
                <w:sz w:val="24"/>
                <w:szCs w:val="24"/>
              </w:rPr>
              <w:t>）。项目与</w:t>
            </w:r>
            <w:r>
              <w:rPr>
                <w:rFonts w:hint="eastAsia" w:ascii="Times New Roman" w:hAnsi="Times New Roman" w:eastAsia="宋体" w:cs="Times New Roman"/>
                <w:color w:val="auto"/>
                <w:sz w:val="24"/>
                <w:szCs w:val="24"/>
                <w:lang w:eastAsia="zh-CN"/>
              </w:rPr>
              <w:t>重点管控单元</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“三线一单”符合性分析如下：</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（1）生态保护红线：项目位于</w:t>
            </w:r>
            <w:r>
              <w:rPr>
                <w:rFonts w:hint="default" w:ascii="Times New Roman" w:hAnsi="Times New Roman" w:eastAsia="宋体" w:cs="Times New Roman"/>
                <w:color w:val="auto"/>
                <w:sz w:val="24"/>
                <w:szCs w:val="24"/>
                <w:lang w:eastAsia="zh-CN"/>
              </w:rPr>
              <w:t>江西省</w:t>
            </w:r>
            <w:r>
              <w:rPr>
                <w:rFonts w:hint="eastAsia" w:ascii="Times New Roman" w:hAnsi="Times New Roman" w:eastAsia="宋体" w:cs="Times New Roman"/>
                <w:color w:val="auto"/>
                <w:sz w:val="24"/>
                <w:szCs w:val="24"/>
                <w:lang w:eastAsia="zh-CN"/>
              </w:rPr>
              <w:t>宜春市高新技术产业园区广源路</w:t>
            </w:r>
            <w:r>
              <w:rPr>
                <w:rFonts w:hint="eastAsia" w:ascii="Times New Roman" w:hAnsi="Times New Roman" w:eastAsia="宋体" w:cs="Times New Roman"/>
                <w:color w:val="auto"/>
                <w:sz w:val="24"/>
                <w:szCs w:val="24"/>
                <w:lang w:val="en-US" w:eastAsia="zh-CN"/>
              </w:rPr>
              <w:t>618号陆丰管业厂区内</w:t>
            </w:r>
            <w:r>
              <w:rPr>
                <w:rFonts w:hint="default"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eastAsia="zh-CN"/>
              </w:rPr>
              <w:t>宜春市</w:t>
            </w:r>
            <w:r>
              <w:rPr>
                <w:rFonts w:hint="default" w:ascii="Times New Roman" w:hAnsi="Times New Roman" w:eastAsia="宋体" w:cs="Times New Roman"/>
                <w:color w:val="auto"/>
                <w:sz w:val="24"/>
                <w:szCs w:val="24"/>
                <w:lang w:val="en-US" w:eastAsia="zh-CN"/>
              </w:rPr>
              <w:t>生态保护红线图</w:t>
            </w:r>
            <w:r>
              <w:rPr>
                <w:rFonts w:hint="default" w:ascii="Times New Roman" w:hAnsi="Times New Roman" w:eastAsia="宋体" w:cs="Times New Roman"/>
                <w:color w:val="auto"/>
                <w:sz w:val="24"/>
                <w:szCs w:val="24"/>
                <w:lang w:eastAsia="zh-CN"/>
              </w:rPr>
              <w:t>（附图</w:t>
            </w:r>
            <w:r>
              <w:rPr>
                <w:rFonts w:hint="eastAsia" w:ascii="Times New Roman" w:hAnsi="Times New Roman" w:eastAsia="宋体" w:cs="Times New Roman"/>
                <w:color w:val="auto"/>
                <w:sz w:val="24"/>
                <w:szCs w:val="24"/>
                <w:lang w:eastAsia="zh-CN"/>
              </w:rPr>
              <w:t>四</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，项目不在生态红线范围内，周边无自然保护区等生态保护目标</w:t>
            </w:r>
            <w:r>
              <w:rPr>
                <w:rFonts w:hint="eastAsia"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rPr>
              <w:t>饮用水源保护区</w:t>
            </w:r>
            <w:r>
              <w:rPr>
                <w:rFonts w:hint="eastAsia" w:ascii="Times New Roman" w:hAnsi="Times New Roman" w:eastAsia="宋体" w:cs="Times New Roman"/>
                <w:color w:val="auto"/>
                <w:sz w:val="24"/>
                <w:szCs w:val="24"/>
                <w:lang w:eastAsia="zh-CN"/>
              </w:rPr>
              <w:t>等水环境保护目标</w:t>
            </w:r>
            <w:r>
              <w:rPr>
                <w:rFonts w:hint="default" w:ascii="Times New Roman" w:hAnsi="Times New Roman" w:eastAsia="宋体" w:cs="Times New Roman"/>
                <w:color w:val="auto"/>
                <w:sz w:val="24"/>
                <w:szCs w:val="24"/>
              </w:rPr>
              <w:t>，符合生态保护红线要求。</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（2）资源利用上线：项目营运过程中消耗一定的</w:t>
            </w:r>
            <w:r>
              <w:rPr>
                <w:rFonts w:hint="default" w:ascii="Times New Roman" w:hAnsi="Times New Roman" w:eastAsia="宋体" w:cs="Times New Roman"/>
                <w:color w:val="auto"/>
                <w:sz w:val="24"/>
                <w:szCs w:val="24"/>
                <w:lang w:val="en-US" w:eastAsia="zh-CN"/>
              </w:rPr>
              <w:t>水、</w:t>
            </w:r>
            <w:r>
              <w:rPr>
                <w:rFonts w:hint="default" w:ascii="Times New Roman" w:hAnsi="Times New Roman" w:eastAsia="宋体" w:cs="Times New Roman"/>
                <w:color w:val="auto"/>
                <w:sz w:val="24"/>
                <w:szCs w:val="24"/>
              </w:rPr>
              <w:t>电，</w:t>
            </w:r>
            <w:r>
              <w:rPr>
                <w:rFonts w:hint="default" w:ascii="Times New Roman" w:hAnsi="Times New Roman" w:eastAsia="宋体" w:cs="Times New Roman"/>
                <w:color w:val="auto"/>
                <w:sz w:val="24"/>
                <w:szCs w:val="24"/>
                <w:lang w:val="en-US" w:eastAsia="zh-CN"/>
              </w:rPr>
              <w:t>自来水通过</w:t>
            </w:r>
            <w:r>
              <w:rPr>
                <w:rFonts w:hint="eastAsia" w:ascii="Times New Roman" w:hAnsi="Times New Roman" w:eastAsia="宋体" w:cs="Times New Roman"/>
                <w:color w:val="auto"/>
                <w:sz w:val="24"/>
                <w:szCs w:val="24"/>
                <w:lang w:val="en-US" w:eastAsia="zh-CN"/>
              </w:rPr>
              <w:t>市政</w:t>
            </w:r>
            <w:r>
              <w:rPr>
                <w:rFonts w:hint="default" w:ascii="Times New Roman" w:hAnsi="Times New Roman" w:eastAsia="宋体" w:cs="Times New Roman"/>
                <w:color w:val="auto"/>
                <w:sz w:val="24"/>
                <w:szCs w:val="24"/>
                <w:lang w:val="en-US" w:eastAsia="zh-CN"/>
              </w:rPr>
              <w:t>管道供给，电力通过市政电网输送。</w:t>
            </w:r>
            <w:r>
              <w:rPr>
                <w:rFonts w:hint="default" w:ascii="Times New Roman" w:hAnsi="Times New Roman" w:eastAsia="宋体" w:cs="Times New Roman"/>
                <w:color w:val="auto"/>
                <w:sz w:val="24"/>
                <w:szCs w:val="24"/>
              </w:rPr>
              <w:t>项目资源消耗量相对区域资源利用总量较小，</w:t>
            </w:r>
            <w:r>
              <w:rPr>
                <w:rFonts w:hint="default" w:ascii="Times New Roman" w:hAnsi="Times New Roman" w:eastAsia="宋体" w:cs="Times New Roman"/>
                <w:color w:val="auto"/>
                <w:sz w:val="24"/>
                <w:szCs w:val="24"/>
                <w:lang w:val="en-US" w:eastAsia="zh-CN"/>
              </w:rPr>
              <w:t>不会突破区域资源利用上限</w:t>
            </w:r>
            <w:r>
              <w:rPr>
                <w:rFonts w:hint="default" w:ascii="Times New Roman" w:hAnsi="Times New Roman" w:eastAsia="宋体" w:cs="Times New Roman"/>
                <w:color w:val="auto"/>
                <w:sz w:val="24"/>
                <w:szCs w:val="24"/>
              </w:rPr>
              <w:t>。</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（3）环境质量底线：区域环境空气属于《环境空气质量标准》（GB3095-2012）中二类功能区、地表</w:t>
            </w:r>
            <w:r>
              <w:rPr>
                <w:rFonts w:hint="default" w:ascii="Times New Roman" w:hAnsi="Times New Roman" w:eastAsia="宋体" w:cs="Times New Roman"/>
                <w:color w:val="auto"/>
                <w:sz w:val="24"/>
                <w:szCs w:val="24"/>
                <w:lang w:eastAsia="zh-CN"/>
              </w:rPr>
              <w:t>水</w:t>
            </w:r>
            <w:r>
              <w:rPr>
                <w:rFonts w:hint="default" w:ascii="Times New Roman" w:hAnsi="Times New Roman" w:eastAsia="宋体" w:cs="Times New Roman"/>
                <w:color w:val="auto"/>
                <w:sz w:val="24"/>
                <w:szCs w:val="24"/>
              </w:rPr>
              <w:t>环境功能属于《地表水环境质量标准》（GB3838-2002）中</w:t>
            </w:r>
            <w:r>
              <w:rPr>
                <w:rFonts w:hint="default" w:ascii="Times New Roman" w:hAnsi="Times New Roman" w:eastAsia="宋体" w:cs="Times New Roman"/>
                <w:color w:val="auto"/>
                <w:sz w:val="24"/>
                <w:szCs w:val="24"/>
                <w:lang w:val="en-US" w:eastAsia="zh-CN"/>
              </w:rPr>
              <w:t>Ⅲ</w:t>
            </w:r>
            <w:r>
              <w:rPr>
                <w:rFonts w:hint="default" w:ascii="Times New Roman" w:hAnsi="Times New Roman" w:eastAsia="宋体" w:cs="Times New Roman"/>
                <w:color w:val="auto"/>
                <w:sz w:val="24"/>
                <w:szCs w:val="24"/>
              </w:rPr>
              <w:t>类功能区、区域声环境属于《声环境质量标准》（GB3096-2008）中</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类功能区；区域环境质量现状较好；具有相应的环境容量。项目废气、噪声经治理后可达标排放，固体废物全部妥善处理，项目</w:t>
            </w:r>
            <w:r>
              <w:rPr>
                <w:rFonts w:hint="eastAsia" w:ascii="Times New Roman" w:hAnsi="Times New Roman" w:eastAsia="宋体" w:cs="Times New Roman"/>
                <w:color w:val="auto"/>
                <w:sz w:val="24"/>
                <w:szCs w:val="24"/>
                <w:lang w:eastAsia="zh-CN"/>
              </w:rPr>
              <w:t>产生污染</w:t>
            </w:r>
            <w:r>
              <w:rPr>
                <w:rFonts w:hint="default" w:ascii="Times New Roman" w:hAnsi="Times New Roman" w:eastAsia="宋体" w:cs="Times New Roman"/>
                <w:color w:val="auto"/>
                <w:sz w:val="24"/>
                <w:szCs w:val="24"/>
              </w:rPr>
              <w:t>均能有效处理，不会明显降低区域环境质量现状；项目建设不会对当地环境质量底线造成冲击。</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（4）环境准入负面清单</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根据环境准入负面清单编制要求，项目不在空间布局约束管控单元范围内；项目不属于重点污染行业，</w:t>
            </w:r>
            <w:r>
              <w:rPr>
                <w:rFonts w:hint="eastAsia" w:ascii="Times New Roman" w:hAnsi="Times New Roman" w:eastAsia="宋体" w:cs="Times New Roman"/>
                <w:color w:val="FF0000"/>
                <w:sz w:val="24"/>
                <w:szCs w:val="24"/>
                <w:lang w:eastAsia="zh-CN"/>
              </w:rPr>
              <w:t>项目生产过程中“三废”经有效处理后均可达标排放；</w:t>
            </w:r>
            <w:r>
              <w:rPr>
                <w:rFonts w:hint="default" w:ascii="Times New Roman" w:hAnsi="Times New Roman" w:eastAsia="宋体" w:cs="Times New Roman"/>
                <w:color w:val="auto"/>
                <w:sz w:val="24"/>
                <w:szCs w:val="24"/>
              </w:rPr>
              <w:t>项目不涉及重金属、持久性有机物等有毒有害污染物，不在环境风险防控单元范围内；设备生产主要依托电力运行，不在资源开发效率要求管控单元范围内。因此，项目建设不在环境准入负面清单范围内。</w:t>
            </w:r>
          </w:p>
          <w:p>
            <w:pPr>
              <w:spacing w:line="360" w:lineRule="auto"/>
              <w:ind w:firstLine="480" w:firstLineChars="200"/>
              <w:rPr>
                <w:rFonts w:hint="eastAsia"/>
                <w:color w:val="auto"/>
                <w:sz w:val="24"/>
                <w:highlight w:val="none"/>
                <w:lang w:val="en-US" w:eastAsia="zh-CN"/>
              </w:rPr>
            </w:pPr>
            <w:r>
              <w:rPr>
                <w:rFonts w:hint="eastAsia"/>
                <w:color w:val="auto"/>
                <w:sz w:val="24"/>
                <w:highlight w:val="none"/>
              </w:rPr>
              <w:t>根据《</w:t>
            </w:r>
            <w:r>
              <w:rPr>
                <w:rFonts w:hint="eastAsia"/>
                <w:color w:val="auto"/>
                <w:sz w:val="24"/>
                <w:highlight w:val="none"/>
                <w:lang w:eastAsia="zh-CN"/>
              </w:rPr>
              <w:t>宜春市</w:t>
            </w:r>
            <w:r>
              <w:rPr>
                <w:rFonts w:hint="eastAsia"/>
                <w:color w:val="auto"/>
                <w:sz w:val="24"/>
                <w:highlight w:val="none"/>
              </w:rPr>
              <w:t>人民政府关于印发</w:t>
            </w:r>
            <w:r>
              <w:rPr>
                <w:rFonts w:hint="eastAsia"/>
                <w:color w:val="auto"/>
                <w:sz w:val="24"/>
                <w:highlight w:val="none"/>
                <w:lang w:eastAsia="zh-CN"/>
              </w:rPr>
              <w:t>宜春市</w:t>
            </w:r>
            <w:r>
              <w:rPr>
                <w:rFonts w:hint="eastAsia"/>
                <w:color w:val="auto"/>
                <w:sz w:val="24"/>
                <w:highlight w:val="none"/>
              </w:rPr>
              <w:t>“三线一单”生态环境分区管控方案的通知》（</w:t>
            </w:r>
            <w:r>
              <w:rPr>
                <w:rFonts w:hint="eastAsia"/>
                <w:color w:val="auto"/>
                <w:sz w:val="24"/>
                <w:highlight w:val="none"/>
                <w:lang w:eastAsia="zh-CN"/>
              </w:rPr>
              <w:t>宜</w:t>
            </w:r>
            <w:r>
              <w:rPr>
                <w:rFonts w:hint="eastAsia"/>
                <w:color w:val="auto"/>
                <w:sz w:val="24"/>
                <w:highlight w:val="none"/>
              </w:rPr>
              <w:t>府发〔2020〕</w:t>
            </w:r>
            <w:r>
              <w:rPr>
                <w:rFonts w:hint="eastAsia"/>
                <w:color w:val="auto"/>
                <w:sz w:val="24"/>
                <w:highlight w:val="none"/>
                <w:lang w:val="en-US" w:eastAsia="zh-CN"/>
              </w:rPr>
              <w:t>14</w:t>
            </w:r>
            <w:r>
              <w:rPr>
                <w:rFonts w:hint="eastAsia"/>
                <w:color w:val="auto"/>
                <w:sz w:val="24"/>
                <w:highlight w:val="none"/>
              </w:rPr>
              <w:t>号）及《</w:t>
            </w:r>
            <w:r>
              <w:rPr>
                <w:rFonts w:hint="eastAsia"/>
                <w:color w:val="auto"/>
                <w:sz w:val="24"/>
                <w:highlight w:val="none"/>
                <w:lang w:eastAsia="zh-CN"/>
              </w:rPr>
              <w:t>宜春市个环境管控单元生态环境准入清单</w:t>
            </w:r>
            <w:r>
              <w:rPr>
                <w:rFonts w:hint="eastAsia"/>
                <w:color w:val="auto"/>
                <w:sz w:val="24"/>
                <w:highlight w:val="none"/>
              </w:rPr>
              <w:t>》（</w:t>
            </w:r>
            <w:r>
              <w:rPr>
                <w:rFonts w:hint="eastAsia"/>
                <w:color w:val="auto"/>
                <w:sz w:val="24"/>
                <w:highlight w:val="none"/>
                <w:lang w:eastAsia="zh-CN"/>
              </w:rPr>
              <w:t>宜</w:t>
            </w:r>
            <w:r>
              <w:rPr>
                <w:rFonts w:hint="eastAsia"/>
                <w:color w:val="auto"/>
                <w:sz w:val="24"/>
                <w:highlight w:val="none"/>
              </w:rPr>
              <w:t>环</w:t>
            </w:r>
            <w:r>
              <w:rPr>
                <w:rFonts w:hint="eastAsia"/>
                <w:color w:val="auto"/>
                <w:sz w:val="24"/>
                <w:highlight w:val="none"/>
                <w:lang w:eastAsia="zh-CN"/>
              </w:rPr>
              <w:t>委</w:t>
            </w:r>
            <w:r>
              <w:rPr>
                <w:rFonts w:hint="eastAsia"/>
                <w:color w:val="auto"/>
                <w:sz w:val="24"/>
                <w:highlight w:val="none"/>
              </w:rPr>
              <w:t>字[2021]1号），本项目不属于上述所列限制类及禁止类，</w:t>
            </w:r>
            <w:r>
              <w:rPr>
                <w:rFonts w:hint="eastAsia"/>
                <w:color w:val="auto"/>
                <w:spacing w:val="6"/>
                <w:sz w:val="24"/>
                <w:highlight w:val="none"/>
                <w:lang w:val="en-US" w:eastAsia="zh-CN"/>
              </w:rPr>
              <w:t>符合环境准入清单要求</w:t>
            </w:r>
            <w:r>
              <w:rPr>
                <w:rFonts w:hint="eastAsia"/>
                <w:color w:val="auto"/>
                <w:sz w:val="24"/>
                <w:highlight w:val="none"/>
              </w:rPr>
              <w:t>。</w:t>
            </w:r>
            <w:r>
              <w:rPr>
                <w:rFonts w:hint="eastAsia"/>
                <w:color w:val="auto"/>
                <w:sz w:val="24"/>
                <w:highlight w:val="none"/>
                <w:lang w:val="en-US" w:eastAsia="zh-CN"/>
              </w:rPr>
              <w:t>项</w:t>
            </w:r>
            <w:r>
              <w:rPr>
                <w:rFonts w:hint="eastAsia"/>
                <w:color w:val="auto"/>
                <w:sz w:val="24"/>
                <w:highlight w:val="none"/>
              </w:rPr>
              <w:t>目与</w:t>
            </w:r>
            <w:r>
              <w:rPr>
                <w:rFonts w:hint="eastAsia"/>
                <w:color w:val="auto"/>
                <w:sz w:val="24"/>
                <w:highlight w:val="none"/>
                <w:lang w:eastAsia="zh-CN"/>
              </w:rPr>
              <w:t>宜春市</w:t>
            </w:r>
            <w:r>
              <w:rPr>
                <w:rFonts w:hint="eastAsia"/>
                <w:color w:val="auto"/>
                <w:sz w:val="24"/>
                <w:highlight w:val="none"/>
              </w:rPr>
              <w:t>生态环境总体准入要求对比详见</w:t>
            </w:r>
            <w:r>
              <w:rPr>
                <w:rFonts w:hint="eastAsia"/>
                <w:color w:val="auto"/>
                <w:sz w:val="24"/>
                <w:highlight w:val="none"/>
                <w:lang w:eastAsia="zh-CN"/>
              </w:rPr>
              <w:t>下</w:t>
            </w:r>
            <w:r>
              <w:rPr>
                <w:rFonts w:hint="eastAsia"/>
                <w:color w:val="auto"/>
                <w:sz w:val="24"/>
                <w:highlight w:val="none"/>
              </w:rPr>
              <w:t>表</w:t>
            </w:r>
            <w:r>
              <w:rPr>
                <w:rFonts w:hint="eastAsia"/>
                <w:color w:val="auto"/>
                <w:sz w:val="24"/>
                <w:highlight w:val="none"/>
                <w:lang w:val="en-US" w:eastAsia="zh-CN"/>
              </w:rPr>
              <w:t>。</w:t>
            </w:r>
          </w:p>
          <w:p>
            <w:pPr>
              <w:tabs>
                <w:tab w:val="left" w:pos="0"/>
              </w:tabs>
              <w:spacing w:line="240" w:lineRule="auto"/>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spacing w:val="0"/>
                <w:kern w:val="2"/>
                <w:sz w:val="21"/>
                <w:szCs w:val="24"/>
                <w:lang w:val="en-US" w:eastAsia="zh-CN" w:bidi="ar-SA"/>
              </w:rPr>
              <w:t>1-</w:t>
            </w:r>
            <w:r>
              <w:rPr>
                <w:rFonts w:hint="eastAsia" w:ascii="Times New Roman" w:hAnsi="Times New Roman" w:eastAsia="宋体" w:cs="Times New Roman"/>
                <w:b/>
                <w:bCs/>
                <w:color w:val="auto"/>
                <w:spacing w:val="0"/>
                <w:kern w:val="2"/>
                <w:sz w:val="21"/>
                <w:szCs w:val="24"/>
                <w:lang w:val="en-US" w:eastAsia="zh-CN" w:bidi="ar-SA"/>
              </w:rPr>
              <w:t xml:space="preserve">5 </w:t>
            </w:r>
            <w:r>
              <w:rPr>
                <w:rFonts w:hint="default" w:ascii="Times New Roman" w:hAnsi="Times New Roman" w:eastAsia="宋体" w:cs="Times New Roman"/>
                <w:b/>
                <w:bCs/>
                <w:color w:val="auto"/>
              </w:rPr>
              <w:t>与</w:t>
            </w:r>
            <w:r>
              <w:rPr>
                <w:rFonts w:hint="eastAsia" w:ascii="Times New Roman" w:hAnsi="Times New Roman" w:eastAsia="宋体" w:cs="Times New Roman"/>
                <w:b/>
                <w:bCs/>
                <w:color w:val="auto"/>
                <w:lang w:eastAsia="zh-CN"/>
              </w:rPr>
              <w:t>宜春市</w:t>
            </w:r>
            <w:r>
              <w:rPr>
                <w:rFonts w:hint="default" w:ascii="Times New Roman" w:hAnsi="Times New Roman" w:eastAsia="宋体" w:cs="Times New Roman"/>
                <w:b/>
                <w:bCs/>
                <w:color w:val="auto"/>
              </w:rPr>
              <w:t>生态环境总体准入要求相符性一览表</w:t>
            </w:r>
          </w:p>
          <w:tbl>
            <w:tblPr>
              <w:tblStyle w:val="58"/>
              <w:tblW w:w="7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900"/>
              <w:gridCol w:w="3240"/>
              <w:gridCol w:w="160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Align w:val="center"/>
                </w:tcPr>
                <w:p>
                  <w:pPr>
                    <w:autoSpaceDE w:val="0"/>
                    <w:autoSpaceDN w:val="0"/>
                    <w:spacing w:line="240" w:lineRule="auto"/>
                    <w:jc w:val="center"/>
                    <w:rPr>
                      <w:rFonts w:hint="eastAsia" w:ascii="Times New Roman" w:hAnsi="Times New Roman" w:eastAsia="宋体" w:cs="Times New Roman"/>
                      <w:color w:val="auto"/>
                      <w:sz w:val="24"/>
                      <w:szCs w:val="24"/>
                      <w:vertAlign w:val="baseline"/>
                      <w:lang w:eastAsia="zh-CN"/>
                    </w:rPr>
                  </w:pPr>
                  <w:r>
                    <w:rPr>
                      <w:b/>
                      <w:color w:val="auto"/>
                      <w:kern w:val="0"/>
                      <w:sz w:val="21"/>
                      <w:szCs w:val="21"/>
                      <w:highlight w:val="none"/>
                      <w:lang w:val="zh-CN" w:bidi="zh-CN"/>
                    </w:rPr>
                    <w:t>维度</w:t>
                  </w:r>
                </w:p>
              </w:tc>
              <w:tc>
                <w:tcPr>
                  <w:tcW w:w="900" w:type="dxa"/>
                  <w:vAlign w:val="center"/>
                </w:tcPr>
                <w:p>
                  <w:pPr>
                    <w:autoSpaceDE w:val="0"/>
                    <w:autoSpaceDN w:val="0"/>
                    <w:spacing w:line="240" w:lineRule="auto"/>
                    <w:jc w:val="center"/>
                    <w:rPr>
                      <w:rFonts w:hint="eastAsia" w:ascii="Times New Roman" w:hAnsi="Times New Roman" w:eastAsia="宋体" w:cs="Times New Roman"/>
                      <w:color w:val="auto"/>
                      <w:sz w:val="24"/>
                      <w:szCs w:val="24"/>
                      <w:vertAlign w:val="baseline"/>
                      <w:lang w:eastAsia="zh-CN"/>
                    </w:rPr>
                  </w:pPr>
                  <w:r>
                    <w:rPr>
                      <w:b/>
                      <w:color w:val="auto"/>
                      <w:kern w:val="0"/>
                      <w:sz w:val="21"/>
                      <w:szCs w:val="21"/>
                      <w:highlight w:val="none"/>
                      <w:lang w:val="zh-CN" w:bidi="zh-CN"/>
                    </w:rPr>
                    <w:t>清单编制要求</w:t>
                  </w:r>
                </w:p>
              </w:tc>
              <w:tc>
                <w:tcPr>
                  <w:tcW w:w="3240" w:type="dxa"/>
                  <w:vAlign w:val="center"/>
                </w:tcPr>
                <w:p>
                  <w:pPr>
                    <w:autoSpaceDE w:val="0"/>
                    <w:autoSpaceDN w:val="0"/>
                    <w:spacing w:line="240" w:lineRule="auto"/>
                    <w:jc w:val="center"/>
                    <w:rPr>
                      <w:rFonts w:hint="default" w:ascii="Times New Roman" w:hAnsi="Times New Roman" w:eastAsia="宋体" w:cs="Times New Roman"/>
                      <w:color w:val="auto"/>
                      <w:sz w:val="24"/>
                      <w:szCs w:val="24"/>
                      <w:vertAlign w:val="baseline"/>
                    </w:rPr>
                  </w:pPr>
                  <w:r>
                    <w:rPr>
                      <w:b/>
                      <w:color w:val="auto"/>
                      <w:kern w:val="0"/>
                      <w:sz w:val="21"/>
                      <w:szCs w:val="21"/>
                      <w:highlight w:val="none"/>
                      <w:lang w:val="zh-CN" w:bidi="zh-CN"/>
                    </w:rPr>
                    <w:t>生态环境准入要求</w:t>
                  </w:r>
                </w:p>
              </w:tc>
              <w:tc>
                <w:tcPr>
                  <w:tcW w:w="1605" w:type="dxa"/>
                  <w:vAlign w:val="center"/>
                </w:tcPr>
                <w:p>
                  <w:pPr>
                    <w:autoSpaceDE w:val="0"/>
                    <w:autoSpaceDN w:val="0"/>
                    <w:spacing w:line="240" w:lineRule="auto"/>
                    <w:jc w:val="center"/>
                    <w:rPr>
                      <w:rFonts w:hint="default" w:ascii="Times New Roman" w:hAnsi="Times New Roman" w:eastAsia="宋体" w:cs="Times New Roman"/>
                      <w:color w:val="auto"/>
                      <w:sz w:val="24"/>
                      <w:szCs w:val="24"/>
                      <w:vertAlign w:val="baseline"/>
                    </w:rPr>
                  </w:pPr>
                  <w:r>
                    <w:rPr>
                      <w:b/>
                      <w:color w:val="auto"/>
                      <w:kern w:val="0"/>
                      <w:sz w:val="21"/>
                      <w:szCs w:val="21"/>
                      <w:highlight w:val="none"/>
                      <w:lang w:val="zh-CN" w:bidi="zh-CN"/>
                    </w:rPr>
                    <w:t>本项目</w:t>
                  </w:r>
                  <w:r>
                    <w:rPr>
                      <w:rFonts w:hint="eastAsia"/>
                      <w:b/>
                      <w:color w:val="auto"/>
                      <w:kern w:val="0"/>
                      <w:sz w:val="21"/>
                      <w:szCs w:val="21"/>
                      <w:highlight w:val="none"/>
                      <w:lang w:bidi="zh-CN"/>
                    </w:rPr>
                    <w:t>情况</w:t>
                  </w:r>
                </w:p>
              </w:tc>
              <w:tc>
                <w:tcPr>
                  <w:tcW w:w="689" w:type="dxa"/>
                  <w:vAlign w:val="center"/>
                </w:tcPr>
                <w:p>
                  <w:pPr>
                    <w:autoSpaceDE w:val="0"/>
                    <w:autoSpaceDN w:val="0"/>
                    <w:spacing w:line="240" w:lineRule="auto"/>
                    <w:jc w:val="center"/>
                    <w:rPr>
                      <w:rFonts w:hint="default" w:ascii="Times New Roman" w:hAnsi="Times New Roman" w:eastAsia="宋体" w:cs="Times New Roman"/>
                      <w:color w:val="auto"/>
                      <w:sz w:val="24"/>
                      <w:szCs w:val="24"/>
                      <w:vertAlign w:val="baseline"/>
                    </w:rPr>
                  </w:pPr>
                  <w:r>
                    <w:rPr>
                      <w:rFonts w:hint="eastAsia"/>
                      <w:b/>
                      <w:color w:val="auto"/>
                      <w:kern w:val="0"/>
                      <w:sz w:val="21"/>
                      <w:szCs w:val="21"/>
                      <w:highlight w:val="none"/>
                      <w:lang w:bidi="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Merge w:val="restart"/>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eastAsia="zh-CN"/>
                    </w:rPr>
                    <w:t>空间布局约束</w:t>
                  </w:r>
                </w:p>
              </w:tc>
              <w:tc>
                <w:tcPr>
                  <w:tcW w:w="900"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eastAsia="zh-CN"/>
                    </w:rPr>
                    <w:t>禁止开发建设活动的要求</w:t>
                  </w:r>
                </w:p>
              </w:tc>
              <w:tc>
                <w:tcPr>
                  <w:tcW w:w="3240" w:type="dxa"/>
                  <w:vAlign w:val="center"/>
                </w:tcPr>
                <w:p>
                  <w:pPr>
                    <w:pStyle w:val="77"/>
                    <w:autoSpaceDE/>
                    <w:autoSpaceDN/>
                    <w:adjustRightInd/>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禁止新建《产业结构调整指导目录》限制类和淘汰类项目，现有产业改、扩建不得使用《产业结构调整指导目录》规定的淘汰类规模和生产工艺。</w:t>
                  </w:r>
                </w:p>
              </w:tc>
              <w:tc>
                <w:tcPr>
                  <w:tcW w:w="1605"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eastAsia="zh-CN"/>
                    </w:rPr>
                    <w:t>项目为非金属矿物制品制造，属于指导目录中鼓励类项目。</w:t>
                  </w:r>
                </w:p>
              </w:tc>
              <w:tc>
                <w:tcPr>
                  <w:tcW w:w="689"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Merge w:val="continue"/>
                  <w:vAlign w:val="center"/>
                </w:tcPr>
                <w:p>
                  <w:pPr>
                    <w:spacing w:line="240" w:lineRule="auto"/>
                    <w:jc w:val="center"/>
                    <w:rPr>
                      <w:rFonts w:hint="default" w:ascii="Times New Roman" w:hAnsi="Times New Roman" w:eastAsia="宋体" w:cs="Times New Roman"/>
                      <w:color w:val="auto"/>
                      <w:sz w:val="24"/>
                      <w:szCs w:val="24"/>
                      <w:vertAlign w:val="baseline"/>
                    </w:rPr>
                  </w:pPr>
                </w:p>
              </w:tc>
              <w:tc>
                <w:tcPr>
                  <w:tcW w:w="900" w:type="dxa"/>
                  <w:vMerge w:val="restart"/>
                  <w:vAlign w:val="center"/>
                </w:tcPr>
                <w:p>
                  <w:pPr>
                    <w:spacing w:line="240" w:lineRule="auto"/>
                    <w:jc w:val="center"/>
                    <w:rPr>
                      <w:rFonts w:hint="default" w:ascii="Times New Roman" w:hAnsi="Times New Roman" w:eastAsia="宋体" w:cs="Times New Roman"/>
                      <w:color w:val="auto"/>
                      <w:sz w:val="24"/>
                      <w:szCs w:val="24"/>
                      <w:vertAlign w:val="baseline"/>
                    </w:rPr>
                  </w:pPr>
                  <w:r>
                    <w:rPr>
                      <w:color w:val="auto"/>
                      <w:sz w:val="21"/>
                      <w:szCs w:val="21"/>
                      <w:highlight w:val="none"/>
                    </w:rPr>
                    <w:t>限制开发建设活动的要求</w:t>
                  </w:r>
                </w:p>
              </w:tc>
              <w:tc>
                <w:tcPr>
                  <w:tcW w:w="3240" w:type="dxa"/>
                  <w:vAlign w:val="center"/>
                </w:tcPr>
                <w:p>
                  <w:pPr>
                    <w:pStyle w:val="77"/>
                    <w:autoSpaceDE/>
                    <w:autoSpaceDN/>
                    <w:adjustRightInd/>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禁止赣江干流岸线5公里范围内新布局重化工园区，赣江干流岸线1公里范围内不得新上化工、造纸、制革、冶炼等重污染项目。</w:t>
                  </w:r>
                </w:p>
              </w:tc>
              <w:tc>
                <w:tcPr>
                  <w:tcW w:w="1605"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项目不在赣江干流5公里内；不属于化工、造纸、制革、冶炼等重污染项目。</w:t>
                  </w:r>
                </w:p>
              </w:tc>
              <w:tc>
                <w:tcPr>
                  <w:tcW w:w="689" w:type="dxa"/>
                  <w:vMerge w:val="restart"/>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Merge w:val="continue"/>
                  <w:vAlign w:val="center"/>
                </w:tcPr>
                <w:p>
                  <w:pPr>
                    <w:spacing w:line="240" w:lineRule="auto"/>
                    <w:jc w:val="center"/>
                    <w:rPr>
                      <w:rFonts w:hint="default" w:ascii="Times New Roman" w:hAnsi="Times New Roman" w:eastAsia="宋体" w:cs="Times New Roman"/>
                      <w:color w:val="auto"/>
                      <w:sz w:val="24"/>
                      <w:szCs w:val="24"/>
                      <w:vertAlign w:val="baseline"/>
                    </w:rPr>
                  </w:pPr>
                </w:p>
              </w:tc>
              <w:tc>
                <w:tcPr>
                  <w:tcW w:w="900" w:type="dxa"/>
                  <w:vMerge w:val="continue"/>
                  <w:vAlign w:val="center"/>
                </w:tcPr>
                <w:p>
                  <w:pPr>
                    <w:spacing w:line="240" w:lineRule="auto"/>
                    <w:jc w:val="center"/>
                    <w:rPr>
                      <w:rFonts w:hint="default" w:ascii="Times New Roman" w:hAnsi="Times New Roman" w:eastAsia="宋体" w:cs="Times New Roman"/>
                      <w:color w:val="auto"/>
                      <w:sz w:val="24"/>
                      <w:szCs w:val="24"/>
                      <w:vertAlign w:val="baseline"/>
                    </w:rPr>
                  </w:pPr>
                </w:p>
              </w:tc>
              <w:tc>
                <w:tcPr>
                  <w:tcW w:w="3240" w:type="dxa"/>
                  <w:vAlign w:val="center"/>
                </w:tcPr>
                <w:p>
                  <w:pPr>
                    <w:pStyle w:val="77"/>
                    <w:autoSpaceDE/>
                    <w:autoSpaceDN/>
                    <w:adjustRightInd/>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不得在城镇居民聚集区域、规划区，主导风上风向，以城镇中心为界线，向外延伸5公里，新建化工（单纯混合、互配除外）、农药（原药生产）、钢铁、焦化、水泥（熟料）、有色金属冶炼等大气污染型项目。</w:t>
                  </w:r>
                </w:p>
              </w:tc>
              <w:tc>
                <w:tcPr>
                  <w:tcW w:w="1605"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ascii="Times New Roman" w:hAnsi="Times New Roman"/>
                      <w:color w:val="auto"/>
                      <w:sz w:val="21"/>
                      <w:szCs w:val="21"/>
                    </w:rPr>
                    <w:t>本项目为非金属矿物制品制造，不属于化工、农药、有色金属冶炼等大气污染型项目</w:t>
                  </w:r>
                </w:p>
              </w:tc>
              <w:tc>
                <w:tcPr>
                  <w:tcW w:w="689" w:type="dxa"/>
                  <w:vMerge w:val="continue"/>
                  <w:vAlign w:val="center"/>
                </w:tcPr>
                <w:p>
                  <w:pPr>
                    <w:spacing w:line="240" w:lineRule="auto"/>
                    <w:jc w:val="center"/>
                    <w:rPr>
                      <w:rFonts w:hint="default" w:ascii="Times New Roman" w:hAnsi="Times New Roman" w:eastAsia="宋体" w:cs="Times New Roman"/>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Merge w:val="continue"/>
                  <w:vAlign w:val="center"/>
                </w:tcPr>
                <w:p>
                  <w:pPr>
                    <w:spacing w:line="240" w:lineRule="auto"/>
                    <w:jc w:val="center"/>
                    <w:rPr>
                      <w:rFonts w:hint="default" w:ascii="Times New Roman" w:hAnsi="Times New Roman" w:eastAsia="宋体" w:cs="Times New Roman"/>
                      <w:color w:val="auto"/>
                      <w:sz w:val="24"/>
                      <w:szCs w:val="24"/>
                      <w:vertAlign w:val="baseline"/>
                    </w:rPr>
                  </w:pPr>
                </w:p>
              </w:tc>
              <w:tc>
                <w:tcPr>
                  <w:tcW w:w="900" w:type="dxa"/>
                  <w:vMerge w:val="continue"/>
                  <w:vAlign w:val="center"/>
                </w:tcPr>
                <w:p>
                  <w:pPr>
                    <w:spacing w:line="240" w:lineRule="auto"/>
                    <w:jc w:val="center"/>
                    <w:rPr>
                      <w:rFonts w:hint="default" w:ascii="Times New Roman" w:hAnsi="Times New Roman" w:eastAsia="宋体" w:cs="Times New Roman"/>
                      <w:color w:val="auto"/>
                      <w:sz w:val="24"/>
                      <w:szCs w:val="24"/>
                      <w:vertAlign w:val="baseline"/>
                    </w:rPr>
                  </w:pPr>
                </w:p>
              </w:tc>
              <w:tc>
                <w:tcPr>
                  <w:tcW w:w="3240" w:type="dxa"/>
                  <w:vAlign w:val="center"/>
                </w:tcPr>
                <w:p>
                  <w:pPr>
                    <w:pStyle w:val="77"/>
                    <w:autoSpaceDE/>
                    <w:autoSpaceDN/>
                    <w:adjustRightInd/>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各类保护地、生态红线法律法规中规定的禁止类、限制类建设活动。</w:t>
                  </w:r>
                </w:p>
              </w:tc>
              <w:tc>
                <w:tcPr>
                  <w:tcW w:w="1605"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eastAsia="zh-CN"/>
                    </w:rPr>
                    <w:t>本项目不属于法律法规中规定的禁止类、限制类建设活动</w:t>
                  </w:r>
                </w:p>
              </w:tc>
              <w:tc>
                <w:tcPr>
                  <w:tcW w:w="689" w:type="dxa"/>
                  <w:vMerge w:val="continue"/>
                  <w:vAlign w:val="center"/>
                </w:tcPr>
                <w:p>
                  <w:pPr>
                    <w:spacing w:line="240" w:lineRule="auto"/>
                    <w:jc w:val="center"/>
                    <w:rPr>
                      <w:rFonts w:hint="default" w:ascii="Times New Roman" w:hAnsi="Times New Roman" w:eastAsia="宋体" w:cs="Times New Roman"/>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Merge w:val="continue"/>
                  <w:vAlign w:val="center"/>
                </w:tcPr>
                <w:p>
                  <w:pPr>
                    <w:spacing w:line="240" w:lineRule="auto"/>
                    <w:jc w:val="center"/>
                    <w:rPr>
                      <w:rFonts w:hint="default" w:ascii="Times New Roman" w:hAnsi="Times New Roman" w:eastAsia="宋体" w:cs="Times New Roman"/>
                      <w:color w:val="auto"/>
                      <w:kern w:val="2"/>
                      <w:sz w:val="24"/>
                      <w:szCs w:val="24"/>
                      <w:vertAlign w:val="baseline"/>
                      <w:lang w:val="en-US" w:eastAsia="zh-CN" w:bidi="ar-SA"/>
                    </w:rPr>
                  </w:pPr>
                </w:p>
              </w:tc>
              <w:tc>
                <w:tcPr>
                  <w:tcW w:w="900"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不符合空间布局要求活动的退出要求</w:t>
                  </w:r>
                </w:p>
              </w:tc>
              <w:tc>
                <w:tcPr>
                  <w:tcW w:w="3240" w:type="dxa"/>
                  <w:vAlign w:val="center"/>
                </w:tcPr>
                <w:p>
                  <w:pPr>
                    <w:pStyle w:val="77"/>
                    <w:autoSpaceDE/>
                    <w:autoSpaceDN/>
                    <w:adjustRightInd/>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城市建成区现有重污染企业（钢铁、水泥、浮化玻璃等）限期退出或改造；</w:t>
                  </w:r>
                </w:p>
                <w:p>
                  <w:pPr>
                    <w:pStyle w:val="77"/>
                    <w:autoSpaceDE/>
                    <w:autoSpaceDN/>
                    <w:adjustRightInd/>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依法依规清除距离赣江岸线1公里范围内未入园的化工企业，依法关闭“小化工”企业，全面加强化工企业环境监管。</w:t>
                  </w:r>
                </w:p>
              </w:tc>
              <w:tc>
                <w:tcPr>
                  <w:tcW w:w="1605" w:type="dxa"/>
                  <w:vAlign w:val="center"/>
                </w:tcPr>
                <w:p>
                  <w:pPr>
                    <w:pStyle w:val="77"/>
                    <w:autoSpaceDE/>
                    <w:autoSpaceDN/>
                    <w:adjustRightInd/>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本项目</w:t>
                  </w:r>
                  <w:r>
                    <w:rPr>
                      <w:rFonts w:hint="eastAsia" w:ascii="Times New Roman" w:cs="Times New Roman"/>
                      <w:color w:val="auto"/>
                      <w:kern w:val="2"/>
                      <w:sz w:val="21"/>
                      <w:szCs w:val="21"/>
                      <w:highlight w:val="none"/>
                      <w:lang w:val="en-US" w:eastAsia="zh-CN" w:bidi="ar-SA"/>
                    </w:rPr>
                    <w:t>属新建项目；不在赣江岸线1公里范围内，</w:t>
                  </w:r>
                  <w:r>
                    <w:rPr>
                      <w:rFonts w:hint="eastAsia" w:ascii="Times New Roman" w:hAnsi="Times New Roman" w:eastAsia="宋体" w:cs="Times New Roman"/>
                      <w:color w:val="auto"/>
                      <w:kern w:val="2"/>
                      <w:sz w:val="21"/>
                      <w:szCs w:val="21"/>
                      <w:highlight w:val="none"/>
                      <w:lang w:val="en-US" w:eastAsia="zh-CN" w:bidi="ar-SA"/>
                    </w:rPr>
                    <w:t>不属于化工企业。</w:t>
                  </w:r>
                </w:p>
              </w:tc>
              <w:tc>
                <w:tcPr>
                  <w:tcW w:w="689"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Merge w:val="restart"/>
                  <w:vAlign w:val="center"/>
                </w:tcPr>
                <w:p>
                  <w:pPr>
                    <w:spacing w:line="240" w:lineRule="auto"/>
                    <w:jc w:val="center"/>
                    <w:rPr>
                      <w:color w:val="auto"/>
                      <w:sz w:val="21"/>
                      <w:szCs w:val="21"/>
                      <w:highlight w:val="none"/>
                    </w:rPr>
                  </w:pPr>
                  <w:r>
                    <w:rPr>
                      <w:color w:val="auto"/>
                      <w:sz w:val="21"/>
                      <w:szCs w:val="21"/>
                      <w:highlight w:val="none"/>
                    </w:rPr>
                    <w:t>污染</w:t>
                  </w:r>
                </w:p>
                <w:p>
                  <w:pPr>
                    <w:spacing w:line="240" w:lineRule="auto"/>
                    <w:jc w:val="center"/>
                    <w:rPr>
                      <w:color w:val="auto"/>
                      <w:sz w:val="21"/>
                      <w:szCs w:val="21"/>
                      <w:highlight w:val="none"/>
                    </w:rPr>
                  </w:pPr>
                  <w:r>
                    <w:rPr>
                      <w:color w:val="auto"/>
                      <w:sz w:val="21"/>
                      <w:szCs w:val="21"/>
                      <w:highlight w:val="none"/>
                    </w:rPr>
                    <w:t>物排放管</w:t>
                  </w:r>
                </w:p>
                <w:p>
                  <w:pPr>
                    <w:spacing w:line="240" w:lineRule="auto"/>
                    <w:jc w:val="center"/>
                    <w:rPr>
                      <w:rFonts w:hint="default" w:ascii="Times New Roman" w:hAnsi="Times New Roman" w:eastAsia="宋体" w:cs="Times New Roman"/>
                      <w:color w:val="auto"/>
                      <w:sz w:val="24"/>
                      <w:szCs w:val="24"/>
                      <w:vertAlign w:val="baseline"/>
                    </w:rPr>
                  </w:pPr>
                  <w:r>
                    <w:rPr>
                      <w:color w:val="auto"/>
                      <w:sz w:val="21"/>
                      <w:szCs w:val="21"/>
                      <w:highlight w:val="none"/>
                    </w:rPr>
                    <w:t>控</w:t>
                  </w:r>
                </w:p>
              </w:tc>
              <w:tc>
                <w:tcPr>
                  <w:tcW w:w="900"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允许排放量要求</w:t>
                  </w:r>
                </w:p>
              </w:tc>
              <w:tc>
                <w:tcPr>
                  <w:tcW w:w="3240" w:type="dxa"/>
                  <w:vAlign w:val="center"/>
                </w:tcPr>
                <w:p>
                  <w:pPr>
                    <w:pStyle w:val="77"/>
                    <w:autoSpaceDE/>
                    <w:autoSpaceDN/>
                    <w:adjustRightInd/>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到2020年，全市化学需氧量、氨氮、二氧化硫、氮氧化物排放总量分别控制在9.86万吨、1.16万吨、6.02万吨、7.97万吨以内,比2015年分别下降4.3%、3.8%、14.58%和24.75%；到2020年，单位地区生产总值二氧化碳排放比2015年下降19.5%，“十四五”及以后执行省级下达的管控指标要求。</w:t>
                  </w:r>
                </w:p>
              </w:tc>
              <w:tc>
                <w:tcPr>
                  <w:tcW w:w="1605"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val="en-US" w:eastAsia="zh-CN"/>
                    </w:rPr>
                    <w:t>本项目污染物排放总量严格执行省级下达的相应管控指标要求</w:t>
                  </w:r>
                </w:p>
              </w:tc>
              <w:tc>
                <w:tcPr>
                  <w:tcW w:w="689"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Merge w:val="continue"/>
                  <w:vAlign w:val="center"/>
                </w:tcPr>
                <w:p>
                  <w:pPr>
                    <w:spacing w:line="240" w:lineRule="auto"/>
                    <w:jc w:val="center"/>
                    <w:rPr>
                      <w:rFonts w:hint="default" w:ascii="Times New Roman" w:hAnsi="Times New Roman" w:eastAsia="宋体" w:cs="Times New Roman"/>
                      <w:color w:val="auto"/>
                      <w:sz w:val="24"/>
                      <w:szCs w:val="24"/>
                      <w:vertAlign w:val="baseline"/>
                    </w:rPr>
                  </w:pPr>
                </w:p>
              </w:tc>
              <w:tc>
                <w:tcPr>
                  <w:tcW w:w="900"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现有源提标升级改造</w:t>
                  </w:r>
                </w:p>
              </w:tc>
              <w:tc>
                <w:tcPr>
                  <w:tcW w:w="3240" w:type="dxa"/>
                  <w:vAlign w:val="center"/>
                </w:tcPr>
                <w:p>
                  <w:pPr>
                    <w:pStyle w:val="77"/>
                    <w:autoSpaceDE/>
                    <w:autoSpaceDN/>
                    <w:adjustRightInd/>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至2020年现有集中城镇污水处理厂排放标准由一级B提标至一级A；国家级开发区内应淘汰煤气发生炉等高污染设备。</w:t>
                  </w:r>
                </w:p>
              </w:tc>
              <w:tc>
                <w:tcPr>
                  <w:tcW w:w="1605"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ascii="Times New Roman" w:hAnsi="Times New Roman"/>
                      <w:color w:val="auto"/>
                      <w:sz w:val="21"/>
                      <w:szCs w:val="21"/>
                    </w:rPr>
                    <w:t>江西奉新高新技术产业园区工业污水处理厂排放标准为一级A标准</w:t>
                  </w:r>
                </w:p>
              </w:tc>
              <w:tc>
                <w:tcPr>
                  <w:tcW w:w="689"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环境风险防控</w:t>
                  </w:r>
                </w:p>
              </w:tc>
              <w:tc>
                <w:tcPr>
                  <w:tcW w:w="900"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联防联控要求</w:t>
                  </w:r>
                </w:p>
              </w:tc>
              <w:tc>
                <w:tcPr>
                  <w:tcW w:w="3240"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建立企业、园区、地方政府之间环境风险联防联控体系和联合应急体系；增强与萍乡、新余等地的联系，完善流域合作，推动建立跨区域的袁河流域水污染防治联动协作机制。</w:t>
                  </w:r>
                </w:p>
              </w:tc>
              <w:tc>
                <w:tcPr>
                  <w:tcW w:w="1605"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val="en-US" w:eastAsia="zh-CN"/>
                    </w:rPr>
                    <w:t>本项目协助地方政府建立环境风险联防联控体系</w:t>
                  </w:r>
                </w:p>
              </w:tc>
              <w:tc>
                <w:tcPr>
                  <w:tcW w:w="689"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Merge w:val="restart"/>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资源利用效率要求</w:t>
                  </w:r>
                </w:p>
              </w:tc>
              <w:tc>
                <w:tcPr>
                  <w:tcW w:w="900" w:type="dxa"/>
                  <w:vAlign w:val="center"/>
                </w:tcPr>
                <w:p>
                  <w:pPr>
                    <w:spacing w:line="240" w:lineRule="auto"/>
                    <w:jc w:val="center"/>
                    <w:rPr>
                      <w:rFonts w:hint="default" w:ascii="Times New Roman" w:hAnsi="Times New Roman" w:eastAsia="宋体" w:cs="Times New Roman"/>
                      <w:color w:val="auto"/>
                      <w:sz w:val="24"/>
                      <w:szCs w:val="24"/>
                      <w:vertAlign w:val="baseline"/>
                    </w:rPr>
                  </w:pPr>
                  <w:r>
                    <w:rPr>
                      <w:color w:val="auto"/>
                      <w:sz w:val="21"/>
                      <w:szCs w:val="21"/>
                      <w:highlight w:val="none"/>
                    </w:rPr>
                    <w:t>水资源利用总量要求</w:t>
                  </w:r>
                </w:p>
              </w:tc>
              <w:tc>
                <w:tcPr>
                  <w:tcW w:w="3240"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到2020年全市水资源利用量控制在36.85亿立方，“十四五”及以后执行省级下达的管控指标要求。</w:t>
                  </w:r>
                </w:p>
              </w:tc>
              <w:tc>
                <w:tcPr>
                  <w:tcW w:w="1605"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eastAsia="zh-CN"/>
                    </w:rPr>
                    <w:t>本项目水资源利用量严格执行省级下达的管控指标要求</w:t>
                  </w:r>
                </w:p>
              </w:tc>
              <w:tc>
                <w:tcPr>
                  <w:tcW w:w="689"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Merge w:val="continue"/>
                  <w:vAlign w:val="center"/>
                </w:tcPr>
                <w:p>
                  <w:pPr>
                    <w:spacing w:line="240" w:lineRule="auto"/>
                    <w:jc w:val="center"/>
                    <w:rPr>
                      <w:rFonts w:hint="default" w:ascii="Times New Roman" w:hAnsi="Times New Roman" w:eastAsia="宋体" w:cs="Times New Roman"/>
                      <w:color w:val="auto"/>
                      <w:sz w:val="24"/>
                      <w:szCs w:val="24"/>
                      <w:vertAlign w:val="baseline"/>
                    </w:rPr>
                  </w:pPr>
                </w:p>
              </w:tc>
              <w:tc>
                <w:tcPr>
                  <w:tcW w:w="900" w:type="dxa"/>
                  <w:vAlign w:val="center"/>
                </w:tcPr>
                <w:p>
                  <w:pPr>
                    <w:spacing w:line="240" w:lineRule="auto"/>
                    <w:jc w:val="center"/>
                    <w:rPr>
                      <w:rFonts w:hint="default" w:ascii="Times New Roman" w:hAnsi="Times New Roman" w:eastAsia="宋体" w:cs="Times New Roman"/>
                      <w:color w:val="auto"/>
                      <w:sz w:val="24"/>
                      <w:szCs w:val="24"/>
                      <w:vertAlign w:val="baseline"/>
                    </w:rPr>
                  </w:pPr>
                  <w:r>
                    <w:rPr>
                      <w:color w:val="auto"/>
                      <w:sz w:val="21"/>
                      <w:szCs w:val="21"/>
                      <w:highlight w:val="none"/>
                    </w:rPr>
                    <w:t>地下水开采要求</w:t>
                  </w:r>
                </w:p>
              </w:tc>
              <w:tc>
                <w:tcPr>
                  <w:tcW w:w="3240"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禁止在塌陷区、地质灾害危险区域开采地下水。</w:t>
                  </w:r>
                </w:p>
              </w:tc>
              <w:tc>
                <w:tcPr>
                  <w:tcW w:w="1605"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eastAsia="zh-CN"/>
                    </w:rPr>
                    <w:t>本项目不取用地下水，由市政供水</w:t>
                  </w:r>
                </w:p>
              </w:tc>
              <w:tc>
                <w:tcPr>
                  <w:tcW w:w="689"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Merge w:val="continue"/>
                  <w:vAlign w:val="center"/>
                </w:tcPr>
                <w:p>
                  <w:pPr>
                    <w:spacing w:line="240" w:lineRule="auto"/>
                    <w:jc w:val="center"/>
                    <w:rPr>
                      <w:rFonts w:hint="default" w:ascii="Times New Roman" w:hAnsi="Times New Roman" w:eastAsia="宋体" w:cs="Times New Roman"/>
                      <w:color w:val="auto"/>
                      <w:sz w:val="24"/>
                      <w:szCs w:val="24"/>
                      <w:vertAlign w:val="baseline"/>
                    </w:rPr>
                  </w:pPr>
                </w:p>
              </w:tc>
              <w:tc>
                <w:tcPr>
                  <w:tcW w:w="900" w:type="dxa"/>
                  <w:vAlign w:val="center"/>
                </w:tcPr>
                <w:p>
                  <w:pPr>
                    <w:spacing w:line="240" w:lineRule="auto"/>
                    <w:jc w:val="center"/>
                    <w:rPr>
                      <w:rFonts w:hint="default" w:ascii="Times New Roman" w:hAnsi="Times New Roman" w:eastAsia="宋体" w:cs="Times New Roman"/>
                      <w:color w:val="auto"/>
                      <w:sz w:val="24"/>
                      <w:szCs w:val="24"/>
                      <w:vertAlign w:val="baseline"/>
                    </w:rPr>
                  </w:pPr>
                  <w:r>
                    <w:rPr>
                      <w:color w:val="auto"/>
                      <w:sz w:val="21"/>
                      <w:szCs w:val="21"/>
                      <w:highlight w:val="none"/>
                    </w:rPr>
                    <w:t>能源利用总量及效率要求</w:t>
                  </w:r>
                </w:p>
              </w:tc>
              <w:tc>
                <w:tcPr>
                  <w:tcW w:w="3240"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到2020年，全市万元地区生产总值能耗比2015年下降17%，能源消费总量增量控制在163万吨标准煤以内，十四五”及以后执行省级下达的管控指标要求。</w:t>
                  </w:r>
                </w:p>
              </w:tc>
              <w:tc>
                <w:tcPr>
                  <w:tcW w:w="1605"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val="en-US" w:eastAsia="zh-CN"/>
                    </w:rPr>
                    <w:t>本项目不涉及燃煤。</w:t>
                  </w:r>
                </w:p>
              </w:tc>
              <w:tc>
                <w:tcPr>
                  <w:tcW w:w="689"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56" w:type="dxa"/>
                  <w:vMerge w:val="continue"/>
                  <w:vAlign w:val="center"/>
                </w:tcPr>
                <w:p>
                  <w:pPr>
                    <w:spacing w:line="240" w:lineRule="auto"/>
                    <w:jc w:val="center"/>
                    <w:rPr>
                      <w:rFonts w:hint="default" w:ascii="Times New Roman" w:hAnsi="Times New Roman" w:eastAsia="宋体" w:cs="Times New Roman"/>
                      <w:color w:val="auto"/>
                      <w:sz w:val="24"/>
                      <w:szCs w:val="24"/>
                      <w:vertAlign w:val="baseline"/>
                    </w:rPr>
                  </w:pPr>
                </w:p>
              </w:tc>
              <w:tc>
                <w:tcPr>
                  <w:tcW w:w="900" w:type="dxa"/>
                  <w:vAlign w:val="center"/>
                </w:tcPr>
                <w:p>
                  <w:pPr>
                    <w:spacing w:line="240" w:lineRule="auto"/>
                    <w:jc w:val="center"/>
                    <w:rPr>
                      <w:color w:val="auto"/>
                      <w:sz w:val="21"/>
                      <w:szCs w:val="21"/>
                      <w:highlight w:val="none"/>
                    </w:rPr>
                  </w:pPr>
                  <w:r>
                    <w:rPr>
                      <w:color w:val="auto"/>
                      <w:sz w:val="21"/>
                      <w:szCs w:val="21"/>
                      <w:highlight w:val="none"/>
                    </w:rPr>
                    <w:t>禁燃区</w:t>
                  </w:r>
                </w:p>
                <w:p>
                  <w:pPr>
                    <w:spacing w:line="240" w:lineRule="auto"/>
                    <w:jc w:val="center"/>
                    <w:rPr>
                      <w:rFonts w:hint="default" w:ascii="Times New Roman" w:hAnsi="Times New Roman" w:eastAsia="宋体" w:cs="Times New Roman"/>
                      <w:color w:val="auto"/>
                      <w:sz w:val="24"/>
                      <w:szCs w:val="24"/>
                      <w:vertAlign w:val="baseline"/>
                    </w:rPr>
                  </w:pPr>
                  <w:r>
                    <w:rPr>
                      <w:color w:val="auto"/>
                      <w:sz w:val="21"/>
                      <w:szCs w:val="21"/>
                      <w:highlight w:val="none"/>
                    </w:rPr>
                    <w:t>要求</w:t>
                  </w:r>
                </w:p>
              </w:tc>
              <w:tc>
                <w:tcPr>
                  <w:tcW w:w="3240"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kern w:val="2"/>
                      <w:sz w:val="21"/>
                      <w:szCs w:val="21"/>
                      <w:highlight w:val="none"/>
                      <w:lang w:val="en-US" w:eastAsia="zh-CN" w:bidi="ar-SA"/>
                    </w:rPr>
                    <w:t>禁止新建、扩建燃用高污染燃料的项目和设施，已建成的应逐步或依法限期改用天然气、电或者其他清洁能源。</w:t>
                  </w:r>
                </w:p>
              </w:tc>
              <w:tc>
                <w:tcPr>
                  <w:tcW w:w="1605" w:type="dxa"/>
                  <w:vAlign w:val="center"/>
                </w:tcPr>
                <w:p>
                  <w:pPr>
                    <w:spacing w:line="240" w:lineRule="auto"/>
                    <w:jc w:val="center"/>
                    <w:rPr>
                      <w:rFonts w:hint="eastAsia" w:ascii="Times New Roman" w:hAnsi="Times New Roman" w:cs="Times New Roman" w:eastAsiaTheme="minorEastAsia"/>
                      <w:color w:val="auto"/>
                      <w:sz w:val="24"/>
                      <w:szCs w:val="24"/>
                      <w:vertAlign w:val="baseline"/>
                      <w:lang w:val="en-US" w:eastAsia="zh-CN"/>
                    </w:rPr>
                  </w:pPr>
                  <w:r>
                    <w:rPr>
                      <w:rFonts w:hint="eastAsia"/>
                      <w:color w:val="auto"/>
                      <w:sz w:val="21"/>
                      <w:szCs w:val="21"/>
                      <w:highlight w:val="none"/>
                    </w:rPr>
                    <w:t>项目</w:t>
                  </w:r>
                  <w:r>
                    <w:rPr>
                      <w:rFonts w:hint="eastAsia"/>
                      <w:color w:val="auto"/>
                      <w:sz w:val="21"/>
                      <w:szCs w:val="21"/>
                      <w:highlight w:val="none"/>
                      <w:lang w:eastAsia="zh-CN"/>
                    </w:rPr>
                    <w:t>不涉及染料燃烧</w:t>
                  </w:r>
                </w:p>
              </w:tc>
              <w:tc>
                <w:tcPr>
                  <w:tcW w:w="689" w:type="dxa"/>
                  <w:vAlign w:val="center"/>
                </w:tcPr>
                <w:p>
                  <w:pPr>
                    <w:spacing w:line="240" w:lineRule="auto"/>
                    <w:jc w:val="center"/>
                    <w:rPr>
                      <w:rFonts w:hint="default" w:ascii="Times New Roman" w:hAnsi="Times New Roman" w:eastAsia="宋体" w:cs="Times New Roman"/>
                      <w:color w:val="auto"/>
                      <w:sz w:val="24"/>
                      <w:szCs w:val="24"/>
                      <w:vertAlign w:val="baseline"/>
                    </w:rPr>
                  </w:pPr>
                  <w:r>
                    <w:rPr>
                      <w:rFonts w:hint="eastAsia"/>
                      <w:color w:val="auto"/>
                      <w:sz w:val="21"/>
                      <w:szCs w:val="21"/>
                      <w:highlight w:val="none"/>
                    </w:rPr>
                    <w:t>符合</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本项目与宜春市生态环境总体准入要求相符。</w:t>
            </w:r>
          </w:p>
          <w:p>
            <w:pPr>
              <w:spacing w:line="360" w:lineRule="auto"/>
              <w:ind w:firstLine="480"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4"/>
                <w:szCs w:val="24"/>
              </w:rPr>
              <w:t>对照</w:t>
            </w:r>
            <w:r>
              <w:rPr>
                <w:rFonts w:hint="eastAsia" w:ascii="Times New Roman" w:hAnsi="Times New Roman" w:eastAsia="宋体" w:cs="Times New Roman"/>
                <w:color w:val="auto"/>
                <w:sz w:val="24"/>
                <w:szCs w:val="24"/>
                <w:lang w:eastAsia="zh-CN"/>
              </w:rPr>
              <w:t>宜春市</w:t>
            </w:r>
            <w:r>
              <w:rPr>
                <w:rFonts w:hint="default" w:ascii="Times New Roman" w:hAnsi="Times New Roman" w:eastAsia="宋体" w:cs="Times New Roman"/>
                <w:color w:val="auto"/>
                <w:sz w:val="24"/>
                <w:szCs w:val="24"/>
              </w:rPr>
              <w:t>“三线一单”环境综合管控分区图，项目位于</w:t>
            </w:r>
            <w:r>
              <w:rPr>
                <w:rFonts w:hint="eastAsia" w:ascii="Times New Roman" w:hAnsi="Times New Roman" w:eastAsia="宋体" w:cs="Times New Roman"/>
                <w:color w:val="auto"/>
                <w:sz w:val="24"/>
                <w:szCs w:val="24"/>
                <w:lang w:eastAsia="zh-CN"/>
              </w:rPr>
              <w:t>江西省宜春市奉新县高新技术产业园广源路</w:t>
            </w:r>
            <w:r>
              <w:rPr>
                <w:rFonts w:hint="eastAsia" w:ascii="Times New Roman" w:hAnsi="Times New Roman" w:eastAsia="宋体" w:cs="Times New Roman"/>
                <w:color w:val="auto"/>
                <w:sz w:val="24"/>
                <w:szCs w:val="24"/>
                <w:lang w:val="en-US" w:eastAsia="zh-CN"/>
              </w:rPr>
              <w:t>618号陆丰管业厂区</w:t>
            </w:r>
            <w:r>
              <w:rPr>
                <w:rFonts w:hint="eastAsia" w:ascii="Times New Roman" w:hAnsi="Times New Roman" w:eastAsia="宋体" w:cs="Times New Roman"/>
                <w:color w:val="auto"/>
                <w:sz w:val="24"/>
                <w:szCs w:val="24"/>
                <w:lang w:eastAsia="zh-CN"/>
              </w:rPr>
              <w:t>（原奉新工业园冯田工业区）</w:t>
            </w:r>
            <w:r>
              <w:rPr>
                <w:rFonts w:hint="default" w:ascii="Times New Roman" w:hAnsi="Times New Roman" w:eastAsia="宋体" w:cs="Times New Roman"/>
                <w:color w:val="auto"/>
                <w:sz w:val="24"/>
                <w:szCs w:val="24"/>
              </w:rPr>
              <w:t>，属于</w:t>
            </w:r>
            <w:r>
              <w:rPr>
                <w:rFonts w:hint="eastAsia" w:ascii="Times New Roman" w:hAnsi="Times New Roman" w:eastAsia="宋体" w:cs="Times New Roman"/>
                <w:color w:val="auto"/>
                <w:sz w:val="24"/>
                <w:szCs w:val="24"/>
                <w:lang w:eastAsia="zh-CN"/>
              </w:rPr>
              <w:t>宜春市奉新县重点管控单元</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（环境管控单元编码：</w:t>
            </w:r>
            <w:r>
              <w:rPr>
                <w:color w:val="auto"/>
                <w:kern w:val="0"/>
                <w:sz w:val="24"/>
                <w:szCs w:val="24"/>
              </w:rPr>
              <w:t>ZH36092120003</w:t>
            </w:r>
            <w:r>
              <w:rPr>
                <w:rFonts w:hint="default" w:ascii="Times New Roman" w:hAnsi="Times New Roman" w:eastAsia="宋体" w:cs="Times New Roman"/>
                <w:color w:val="auto"/>
                <w:sz w:val="24"/>
                <w:szCs w:val="24"/>
              </w:rPr>
              <w:t>）。本项目与其准入要求相符性分析如下：</w:t>
            </w:r>
          </w:p>
          <w:p>
            <w:pPr>
              <w:tabs>
                <w:tab w:val="left" w:pos="0"/>
              </w:tabs>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ascii="Times New Roman" w:hAnsi="Times New Roman" w:eastAsia="宋体"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rPr>
              <w:t>与</w:t>
            </w:r>
            <w:r>
              <w:rPr>
                <w:rFonts w:hint="eastAsia" w:ascii="Times New Roman" w:hAnsi="Times New Roman" w:eastAsia="宋体" w:cs="Times New Roman"/>
                <w:b/>
                <w:bCs/>
                <w:color w:val="auto"/>
                <w:sz w:val="21"/>
                <w:szCs w:val="21"/>
                <w:lang w:eastAsia="zh-CN"/>
              </w:rPr>
              <w:t>奉新县重点管控单元</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准入要求相符性一览表</w:t>
            </w:r>
          </w:p>
          <w:tbl>
            <w:tblPr>
              <w:tblStyle w:val="57"/>
              <w:tblW w:w="7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744"/>
              <w:gridCol w:w="2833"/>
              <w:gridCol w:w="1492"/>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纬度</w:t>
                  </w:r>
                </w:p>
              </w:tc>
              <w:tc>
                <w:tcPr>
                  <w:tcW w:w="1744"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清单编制要求</w:t>
                  </w:r>
                </w:p>
              </w:tc>
              <w:tc>
                <w:tcPr>
                  <w:tcW w:w="2833"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生态环境准入要求</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本项目情况</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vMerge w:val="restart"/>
                  <w:tcMar>
                    <w:top w:w="0" w:type="dxa"/>
                    <w:left w:w="57" w:type="dxa"/>
                    <w:right w:w="57" w:type="dxa"/>
                  </w:tcMar>
                  <w:vAlign w:val="center"/>
                </w:tcPr>
                <w:p>
                  <w:pPr>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rPr>
                  </w:pPr>
                  <w:r>
                    <w:rPr>
                      <w:rFonts w:ascii="Times New Roman" w:hAnsi="Times New Roman"/>
                      <w:color w:val="auto"/>
                      <w:sz w:val="21"/>
                      <w:szCs w:val="21"/>
                    </w:rPr>
                    <w:t>允许开发建设活动的要求</w:t>
                  </w:r>
                </w:p>
              </w:tc>
              <w:tc>
                <w:tcPr>
                  <w:tcW w:w="2833"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rPr>
                  </w:pPr>
                  <w:r>
                    <w:rPr>
                      <w:rFonts w:ascii="Times New Roman" w:hAnsi="Times New Roman"/>
                      <w:color w:val="auto"/>
                      <w:sz w:val="21"/>
                      <w:szCs w:val="21"/>
                    </w:rPr>
                    <w:t>/</w:t>
                  </w:r>
                </w:p>
              </w:tc>
              <w:tc>
                <w:tcPr>
                  <w:tcW w:w="1492"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rPr>
                  </w:pPr>
                  <w:r>
                    <w:rPr>
                      <w:rFonts w:ascii="Times New Roman" w:hAnsi="Times New Roman"/>
                      <w:color w:val="auto"/>
                      <w:sz w:val="21"/>
                      <w:szCs w:val="21"/>
                    </w:rPr>
                    <w:t>/</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vMerge w:val="continue"/>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rPr>
                  </w:pP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rPr>
                  </w:pPr>
                  <w:r>
                    <w:rPr>
                      <w:rFonts w:ascii="Times New Roman" w:hAnsi="Times New Roman"/>
                      <w:color w:val="auto"/>
                      <w:sz w:val="21"/>
                      <w:szCs w:val="21"/>
                    </w:rPr>
                    <w:t>禁止开发建设活动的要求</w:t>
                  </w:r>
                </w:p>
              </w:tc>
              <w:tc>
                <w:tcPr>
                  <w:tcW w:w="2833"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eastAsia="zh-CN"/>
                    </w:rPr>
                  </w:pPr>
                  <w:r>
                    <w:rPr>
                      <w:rFonts w:ascii="Times New Roman" w:hAnsi="Times New Roman"/>
                      <w:color w:val="auto"/>
                      <w:sz w:val="21"/>
                      <w:szCs w:val="21"/>
                    </w:rPr>
                    <w:t>/</w:t>
                  </w:r>
                </w:p>
              </w:tc>
              <w:tc>
                <w:tcPr>
                  <w:tcW w:w="1492"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eastAsia="zh-CN"/>
                    </w:rPr>
                  </w:pPr>
                  <w:r>
                    <w:rPr>
                      <w:rFonts w:ascii="Times New Roman" w:hAnsi="Times New Roman"/>
                      <w:color w:val="auto"/>
                      <w:sz w:val="21"/>
                      <w:szCs w:val="21"/>
                    </w:rPr>
                    <w:t>/</w:t>
                  </w:r>
                </w:p>
              </w:tc>
              <w:tc>
                <w:tcPr>
                  <w:tcW w:w="591" w:type="dxa"/>
                  <w:tcMar>
                    <w:top w:w="0" w:type="dxa"/>
                    <w:left w:w="57" w:type="dxa"/>
                    <w:right w:w="57" w:type="dxa"/>
                  </w:tcMar>
                  <w:vAlign w:val="center"/>
                </w:tcPr>
                <w:p>
                  <w:pPr>
                    <w:widowControl/>
                    <w:jc w:val="center"/>
                    <w:textAlignment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vMerge w:val="continue"/>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rPr>
                  </w:pP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rPr>
                  </w:pPr>
                  <w:r>
                    <w:rPr>
                      <w:rFonts w:ascii="Times New Roman" w:hAnsi="Times New Roman"/>
                      <w:color w:val="auto"/>
                      <w:sz w:val="21"/>
                      <w:szCs w:val="21"/>
                    </w:rPr>
                    <w:t>限制开发建设活动的要求</w:t>
                  </w:r>
                </w:p>
              </w:tc>
              <w:tc>
                <w:tcPr>
                  <w:tcW w:w="2833" w:type="dxa"/>
                  <w:tcMar>
                    <w:top w:w="0" w:type="dxa"/>
                    <w:left w:w="57" w:type="dxa"/>
                    <w:right w:w="57" w:type="dxa"/>
                  </w:tcMar>
                  <w:vAlign w:val="center"/>
                </w:tcPr>
                <w:p>
                  <w:pPr>
                    <w:snapToGrid/>
                    <w:spacing w:line="240" w:lineRule="auto"/>
                    <w:ind w:firstLine="0" w:firstLineChars="0"/>
                    <w:rPr>
                      <w:rFonts w:hint="eastAsia" w:ascii="Times New Roman" w:hAnsi="Times New Roman" w:eastAsia="宋体" w:cs="Times New Roman"/>
                      <w:color w:val="auto"/>
                      <w:lang w:eastAsia="zh-CN"/>
                    </w:rPr>
                  </w:pPr>
                  <w:r>
                    <w:rPr>
                      <w:rFonts w:ascii="Times New Roman" w:hAnsi="Times New Roman"/>
                      <w:color w:val="auto"/>
                      <w:sz w:val="21"/>
                    </w:rPr>
                    <w:t>潦河沿岸污水环境高污染风险项目</w:t>
                  </w:r>
                </w:p>
              </w:tc>
              <w:tc>
                <w:tcPr>
                  <w:tcW w:w="1492"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val="en-US" w:eastAsia="zh-CN"/>
                    </w:rPr>
                  </w:pPr>
                  <w:r>
                    <w:rPr>
                      <w:rFonts w:ascii="Times New Roman" w:hAnsi="Times New Roman"/>
                      <w:color w:val="auto"/>
                      <w:sz w:val="21"/>
                      <w:szCs w:val="21"/>
                    </w:rPr>
                    <w:t>本项目排放废水量为</w:t>
                  </w:r>
                  <w:r>
                    <w:rPr>
                      <w:rFonts w:hint="eastAsia" w:ascii="Times New Roman" w:hAnsi="Times New Roman"/>
                      <w:color w:val="auto"/>
                      <w:sz w:val="21"/>
                      <w:szCs w:val="21"/>
                      <w:lang w:val="en-US" w:eastAsia="zh-CN"/>
                    </w:rPr>
                    <w:t>360</w:t>
                  </w:r>
                  <w:r>
                    <w:rPr>
                      <w:rFonts w:ascii="Times New Roman" w:hAnsi="Times New Roman"/>
                      <w:color w:val="auto"/>
                      <w:sz w:val="21"/>
                      <w:szCs w:val="21"/>
                    </w:rPr>
                    <w:t>m</w:t>
                  </w:r>
                  <w:r>
                    <w:rPr>
                      <w:rFonts w:ascii="Times New Roman" w:hAnsi="Times New Roman"/>
                      <w:color w:val="auto"/>
                      <w:sz w:val="21"/>
                      <w:szCs w:val="21"/>
                      <w:vertAlign w:val="superscript"/>
                    </w:rPr>
                    <w:t>3</w:t>
                  </w:r>
                  <w:r>
                    <w:rPr>
                      <w:rFonts w:ascii="Times New Roman" w:hAnsi="Times New Roman"/>
                      <w:color w:val="auto"/>
                      <w:sz w:val="21"/>
                      <w:szCs w:val="21"/>
                    </w:rPr>
                    <w:t>/a，污染物排放量较小。</w:t>
                  </w:r>
                </w:p>
              </w:tc>
              <w:tc>
                <w:tcPr>
                  <w:tcW w:w="591" w:type="dxa"/>
                  <w:tcMar>
                    <w:top w:w="0" w:type="dxa"/>
                    <w:left w:w="57" w:type="dxa"/>
                    <w:right w:w="57" w:type="dxa"/>
                  </w:tcMar>
                  <w:vAlign w:val="center"/>
                </w:tcPr>
                <w:p>
                  <w:pPr>
                    <w:widowControl/>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vMerge w:val="continue"/>
                  <w:tcMar>
                    <w:top w:w="0" w:type="dxa"/>
                    <w:left w:w="57" w:type="dxa"/>
                    <w:right w:w="57" w:type="dxa"/>
                  </w:tcMar>
                  <w:vAlign w:val="center"/>
                </w:tcPr>
                <w:p>
                  <w:pPr>
                    <w:jc w:val="center"/>
                    <w:rPr>
                      <w:rFonts w:hint="default" w:ascii="Times New Roman" w:hAnsi="Times New Roman" w:eastAsia="宋体" w:cs="Times New Roman"/>
                      <w:color w:val="auto"/>
                    </w:rPr>
                  </w:pP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rPr>
                  </w:pPr>
                  <w:r>
                    <w:rPr>
                      <w:rFonts w:ascii="Times New Roman" w:hAnsi="Times New Roman"/>
                      <w:color w:val="auto"/>
                      <w:sz w:val="21"/>
                      <w:szCs w:val="21"/>
                    </w:rPr>
                    <w:t>不符合空间布局要求活动的退出要求</w:t>
                  </w:r>
                </w:p>
              </w:tc>
              <w:tc>
                <w:tcPr>
                  <w:tcW w:w="2833" w:type="dxa"/>
                  <w:tcMar>
                    <w:top w:w="0" w:type="dxa"/>
                    <w:left w:w="57" w:type="dxa"/>
                    <w:right w:w="57" w:type="dxa"/>
                  </w:tcMar>
                  <w:vAlign w:val="center"/>
                </w:tcPr>
                <w:p>
                  <w:pPr>
                    <w:snapToGrid/>
                    <w:spacing w:line="240" w:lineRule="auto"/>
                    <w:ind w:firstLine="0" w:firstLineChars="0"/>
                    <w:rPr>
                      <w:rFonts w:hint="default" w:ascii="Times New Roman" w:hAnsi="Times New Roman" w:eastAsia="宋体" w:cs="Times New Roman"/>
                      <w:color w:val="auto"/>
                      <w:lang w:eastAsia="zh-CN"/>
                    </w:rPr>
                  </w:pPr>
                  <w:r>
                    <w:rPr>
                      <w:rFonts w:ascii="Times New Roman" w:hAnsi="Times New Roman"/>
                      <w:color w:val="auto"/>
                      <w:sz w:val="21"/>
                      <w:szCs w:val="21"/>
                    </w:rPr>
                    <w:t>依法取缔超标严重治理无望的建设项目</w:t>
                  </w:r>
                </w:p>
              </w:tc>
              <w:tc>
                <w:tcPr>
                  <w:tcW w:w="1492"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val="en-US" w:eastAsia="zh-CN"/>
                    </w:rPr>
                  </w:pPr>
                  <w:r>
                    <w:rPr>
                      <w:rFonts w:ascii="Times New Roman" w:hAnsi="Times New Roman"/>
                      <w:color w:val="auto"/>
                      <w:sz w:val="21"/>
                      <w:szCs w:val="21"/>
                    </w:rPr>
                    <w:t>该项目污染物产生量较小</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vMerge w:val="restart"/>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rPr>
                  </w:pPr>
                  <w:r>
                    <w:rPr>
                      <w:rFonts w:ascii="Times New Roman" w:hAnsi="Times New Roman"/>
                      <w:color w:val="auto"/>
                      <w:sz w:val="21"/>
                      <w:szCs w:val="21"/>
                    </w:rPr>
                    <w:t>现有源提标升级改造</w:t>
                  </w:r>
                </w:p>
              </w:tc>
              <w:tc>
                <w:tcPr>
                  <w:tcW w:w="2833" w:type="dxa"/>
                  <w:tcMar>
                    <w:top w:w="0" w:type="dxa"/>
                    <w:left w:w="57" w:type="dxa"/>
                    <w:right w:w="57" w:type="dxa"/>
                  </w:tcMar>
                  <w:vAlign w:val="center"/>
                </w:tcPr>
                <w:p>
                  <w:pPr>
                    <w:snapToGrid/>
                    <w:spacing w:line="240" w:lineRule="auto"/>
                    <w:ind w:firstLine="0" w:firstLineChars="0"/>
                    <w:rPr>
                      <w:rFonts w:hint="default" w:ascii="Times New Roman" w:hAnsi="Times New Roman" w:eastAsia="宋体" w:cs="Times New Roman"/>
                      <w:color w:val="auto"/>
                      <w:lang w:eastAsia="zh-CN"/>
                    </w:rPr>
                  </w:pPr>
                  <w:r>
                    <w:rPr>
                      <w:rFonts w:ascii="Times New Roman" w:hAnsi="Times New Roman"/>
                      <w:color w:val="auto"/>
                      <w:sz w:val="21"/>
                      <w:szCs w:val="21"/>
                    </w:rPr>
                    <w:t>完成集中式污水处理设施及管网建设，并安装在线监控设施。新建的集中式污水处理设施出水达到《城镇污水处理厂污染物排放标准》中的一级B标准及以上</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项目所在高新技术产业园内污水管网已铺设完毕，且园区污水处理厂</w:t>
                  </w:r>
                  <w:r>
                    <w:rPr>
                      <w:rFonts w:ascii="Times New Roman" w:hAnsi="Times New Roman"/>
                      <w:color w:val="auto"/>
                      <w:sz w:val="21"/>
                      <w:szCs w:val="21"/>
                    </w:rPr>
                    <w:t>排放标准为一级A标准</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557" w:type="dxa"/>
                  <w:vMerge w:val="continue"/>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rPr>
                  </w:pP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rPr>
                  </w:pPr>
                  <w:r>
                    <w:rPr>
                      <w:rFonts w:ascii="Times New Roman" w:hAnsi="Times New Roman"/>
                      <w:color w:val="auto"/>
                      <w:sz w:val="21"/>
                      <w:szCs w:val="21"/>
                    </w:rPr>
                    <w:t>新增源等量或倍量替代</w:t>
                  </w:r>
                </w:p>
              </w:tc>
              <w:tc>
                <w:tcPr>
                  <w:tcW w:w="2833"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eastAsia="zh-CN"/>
                    </w:rPr>
                  </w:pPr>
                  <w:r>
                    <w:rPr>
                      <w:rFonts w:ascii="Times New Roman" w:hAnsi="Times New Roman"/>
                      <w:color w:val="auto"/>
                      <w:sz w:val="21"/>
                      <w:szCs w:val="21"/>
                    </w:rPr>
                    <w:t>无</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557" w:type="dxa"/>
                  <w:vMerge w:val="continue"/>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rPr>
                  </w:pP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rPr>
                  </w:pPr>
                  <w:r>
                    <w:rPr>
                      <w:rFonts w:ascii="Times New Roman" w:hAnsi="Times New Roman"/>
                      <w:color w:val="auto"/>
                      <w:sz w:val="21"/>
                      <w:szCs w:val="21"/>
                    </w:rPr>
                    <w:t>新增源排放标准限制</w:t>
                  </w:r>
                </w:p>
              </w:tc>
              <w:tc>
                <w:tcPr>
                  <w:tcW w:w="2833" w:type="dxa"/>
                  <w:tcMar>
                    <w:top w:w="0" w:type="dxa"/>
                    <w:left w:w="57" w:type="dxa"/>
                    <w:right w:w="57" w:type="dxa"/>
                  </w:tcMar>
                  <w:vAlign w:val="center"/>
                </w:tcPr>
                <w:p>
                  <w:pPr>
                    <w:snapToGrid/>
                    <w:spacing w:line="240" w:lineRule="auto"/>
                    <w:ind w:firstLine="0" w:firstLineChars="0"/>
                    <w:rPr>
                      <w:rFonts w:hint="default" w:ascii="Times New Roman" w:hAnsi="Times New Roman" w:eastAsia="宋体" w:cs="Times New Roman"/>
                      <w:color w:val="auto"/>
                      <w:lang w:eastAsia="zh-CN"/>
                    </w:rPr>
                  </w:pPr>
                  <w:r>
                    <w:rPr>
                      <w:rFonts w:ascii="Times New Roman" w:hAnsi="Times New Roman"/>
                      <w:color w:val="auto"/>
                      <w:sz w:val="21"/>
                      <w:szCs w:val="21"/>
                    </w:rPr>
                    <w:t>污染物排放应达到相应排放标准</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本项目三废污染物排放符合政府相应排放标准</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557" w:type="dxa"/>
                  <w:vMerge w:val="continue"/>
                  <w:tcMar>
                    <w:top w:w="0" w:type="dxa"/>
                    <w:left w:w="57" w:type="dxa"/>
                    <w:right w:w="57" w:type="dxa"/>
                  </w:tcMar>
                  <w:vAlign w:val="center"/>
                </w:tcPr>
                <w:p>
                  <w:pPr>
                    <w:jc w:val="center"/>
                    <w:rPr>
                      <w:rFonts w:hint="default" w:ascii="Times New Roman" w:hAnsi="Times New Roman" w:eastAsia="宋体" w:cs="Times New Roman"/>
                      <w:color w:val="auto"/>
                    </w:rPr>
                  </w:pP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rPr>
                  </w:pPr>
                  <w:r>
                    <w:rPr>
                      <w:rFonts w:ascii="Times New Roman" w:hAnsi="Times New Roman"/>
                      <w:color w:val="auto"/>
                      <w:sz w:val="21"/>
                      <w:szCs w:val="21"/>
                    </w:rPr>
                    <w:t>污染物排放绩效水平准入要求</w:t>
                  </w:r>
                </w:p>
              </w:tc>
              <w:tc>
                <w:tcPr>
                  <w:tcW w:w="2833" w:type="dxa"/>
                  <w:tcMar>
                    <w:top w:w="0" w:type="dxa"/>
                    <w:left w:w="57" w:type="dxa"/>
                    <w:right w:w="57" w:type="dxa"/>
                  </w:tcMar>
                  <w:vAlign w:val="center"/>
                </w:tcPr>
                <w:p>
                  <w:pPr>
                    <w:snapToGrid/>
                    <w:spacing w:line="240" w:lineRule="auto"/>
                    <w:ind w:firstLine="0" w:firstLineChars="0"/>
                    <w:rPr>
                      <w:rFonts w:hint="eastAsia" w:ascii="Times New Roman" w:hAnsi="Times New Roman" w:eastAsia="宋体" w:cs="Times New Roman"/>
                      <w:color w:val="auto"/>
                      <w:lang w:eastAsia="zh-CN"/>
                    </w:rPr>
                  </w:pPr>
                  <w:r>
                    <w:rPr>
                      <w:rFonts w:ascii="Times New Roman" w:hAnsi="Times New Roman"/>
                      <w:color w:val="auto"/>
                      <w:sz w:val="21"/>
                      <w:szCs w:val="21"/>
                    </w:rPr>
                    <w:t>污染物排放绩效水平应达到良好水平</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本项目污染物排放达到良好水平</w:t>
                  </w:r>
                </w:p>
              </w:tc>
              <w:tc>
                <w:tcPr>
                  <w:tcW w:w="591" w:type="dxa"/>
                  <w:tcMar>
                    <w:top w:w="0" w:type="dxa"/>
                    <w:left w:w="57" w:type="dxa"/>
                    <w:right w:w="57" w:type="dxa"/>
                  </w:tcMar>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4" w:hRule="atLeast"/>
                <w:jc w:val="center"/>
              </w:trPr>
              <w:tc>
                <w:tcPr>
                  <w:tcW w:w="557" w:type="dxa"/>
                  <w:vMerge w:val="restart"/>
                  <w:tcMar>
                    <w:top w:w="0" w:type="dxa"/>
                    <w:left w:w="57" w:type="dxa"/>
                    <w:right w:w="57" w:type="dxa"/>
                  </w:tcMar>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环境风险防控</w:t>
                  </w:r>
                </w:p>
              </w:tc>
              <w:tc>
                <w:tcPr>
                  <w:tcW w:w="1744"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eastAsia="zh-CN"/>
                    </w:rPr>
                  </w:pPr>
                  <w:r>
                    <w:rPr>
                      <w:rFonts w:ascii="Times New Roman" w:hAnsi="Times New Roman"/>
                      <w:color w:val="auto"/>
                      <w:sz w:val="21"/>
                      <w:szCs w:val="21"/>
                    </w:rPr>
                    <w:t>严格管控类农用地环境风险防控要求</w:t>
                  </w:r>
                </w:p>
              </w:tc>
              <w:tc>
                <w:tcPr>
                  <w:tcW w:w="2833" w:type="dxa"/>
                  <w:tcMar>
                    <w:top w:w="0" w:type="dxa"/>
                    <w:left w:w="57" w:type="dxa"/>
                    <w:right w:w="57" w:type="dxa"/>
                  </w:tcMar>
                  <w:vAlign w:val="center"/>
                </w:tcPr>
                <w:p>
                  <w:pPr>
                    <w:snapToGrid/>
                    <w:spacing w:line="240" w:lineRule="auto"/>
                    <w:ind w:firstLine="0" w:firstLineChars="0"/>
                    <w:rPr>
                      <w:rFonts w:hint="default" w:ascii="Times New Roman" w:hAnsi="Times New Roman" w:eastAsia="宋体" w:cs="Times New Roman"/>
                      <w:color w:val="auto"/>
                      <w:lang w:val="en-US" w:eastAsia="zh-CN"/>
                    </w:rPr>
                  </w:pPr>
                  <w:r>
                    <w:rPr>
                      <w:rFonts w:ascii="Times New Roman" w:hAnsi="Times New Roman"/>
                      <w:color w:val="auto"/>
                      <w:sz w:val="21"/>
                      <w:szCs w:val="21"/>
                    </w:rPr>
                    <w:t>已污染地块再利用，应当依法开展土壤污染状况调查、治理与修复，符合相应规划用地土壤环境质量要求后，方可进入用地程序。</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ascii="Times New Roman" w:hAnsi="Times New Roman"/>
                      <w:color w:val="auto"/>
                      <w:sz w:val="21"/>
                      <w:szCs w:val="21"/>
                    </w:rPr>
                    <w:t>该项目用地类型为工业用地，非污染地块。</w:t>
                  </w:r>
                </w:p>
              </w:tc>
              <w:tc>
                <w:tcPr>
                  <w:tcW w:w="591" w:type="dxa"/>
                  <w:tcMar>
                    <w:top w:w="0" w:type="dxa"/>
                    <w:left w:w="57" w:type="dxa"/>
                    <w:right w:w="57" w:type="dxa"/>
                  </w:tcMar>
                  <w:vAlign w:val="center"/>
                </w:tcPr>
                <w:p>
                  <w:pPr>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4" w:hRule="atLeast"/>
                <w:jc w:val="center"/>
              </w:trPr>
              <w:tc>
                <w:tcPr>
                  <w:tcW w:w="557" w:type="dxa"/>
                  <w:vMerge w:val="continue"/>
                  <w:tcMar>
                    <w:top w:w="0" w:type="dxa"/>
                    <w:left w:w="57" w:type="dxa"/>
                    <w:right w:w="57" w:type="dxa"/>
                  </w:tcMar>
                  <w:vAlign w:val="center"/>
                </w:tcPr>
                <w:p>
                  <w:pPr>
                    <w:jc w:val="center"/>
                    <w:rPr>
                      <w:rFonts w:hint="eastAsia" w:ascii="Times New Roman" w:hAnsi="Times New Roman" w:eastAsia="宋体" w:cs="Times New Roman"/>
                      <w:color w:val="auto"/>
                      <w:lang w:eastAsia="zh-CN"/>
                    </w:rPr>
                  </w:pPr>
                </w:p>
              </w:tc>
              <w:tc>
                <w:tcPr>
                  <w:tcW w:w="1744"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eastAsia="zh-CN"/>
                    </w:rPr>
                  </w:pPr>
                  <w:r>
                    <w:rPr>
                      <w:rFonts w:ascii="Times New Roman" w:hAnsi="Times New Roman"/>
                      <w:color w:val="auto"/>
                      <w:sz w:val="21"/>
                      <w:szCs w:val="21"/>
                    </w:rPr>
                    <w:t>安全利用类农用地环境风险防控要求</w:t>
                  </w:r>
                </w:p>
              </w:tc>
              <w:tc>
                <w:tcPr>
                  <w:tcW w:w="2833"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val="en-US" w:eastAsia="zh-CN"/>
                    </w:rPr>
                  </w:pPr>
                  <w:r>
                    <w:rPr>
                      <w:rFonts w:ascii="Times New Roman" w:hAnsi="Times New Roman"/>
                      <w:color w:val="auto"/>
                      <w:sz w:val="21"/>
                      <w:szCs w:val="21"/>
                    </w:rPr>
                    <w:t>/</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591" w:type="dxa"/>
                  <w:tcMar>
                    <w:top w:w="0" w:type="dxa"/>
                    <w:left w:w="57" w:type="dxa"/>
                    <w:right w:w="57" w:type="dxa"/>
                  </w:tcMar>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4" w:hRule="atLeast"/>
                <w:jc w:val="center"/>
              </w:trPr>
              <w:tc>
                <w:tcPr>
                  <w:tcW w:w="557" w:type="dxa"/>
                  <w:vMerge w:val="continue"/>
                  <w:tcMar>
                    <w:top w:w="0" w:type="dxa"/>
                    <w:left w:w="57" w:type="dxa"/>
                    <w:right w:w="57" w:type="dxa"/>
                  </w:tcMar>
                  <w:vAlign w:val="center"/>
                </w:tcPr>
                <w:p>
                  <w:pPr>
                    <w:jc w:val="center"/>
                    <w:rPr>
                      <w:rFonts w:hint="eastAsia" w:ascii="Times New Roman" w:hAnsi="Times New Roman" w:eastAsia="宋体" w:cs="Times New Roman"/>
                      <w:color w:val="auto"/>
                      <w:lang w:eastAsia="zh-CN"/>
                    </w:rPr>
                  </w:pPr>
                </w:p>
              </w:tc>
              <w:tc>
                <w:tcPr>
                  <w:tcW w:w="1744"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eastAsia="zh-CN"/>
                    </w:rPr>
                  </w:pPr>
                  <w:r>
                    <w:rPr>
                      <w:rFonts w:ascii="Times New Roman" w:hAnsi="Times New Roman"/>
                      <w:color w:val="auto"/>
                      <w:sz w:val="21"/>
                      <w:szCs w:val="21"/>
                    </w:rPr>
                    <w:t>污染地块（建设用地）环境风险防控要求</w:t>
                  </w:r>
                </w:p>
              </w:tc>
              <w:tc>
                <w:tcPr>
                  <w:tcW w:w="2833"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val="en-US" w:eastAsia="zh-CN"/>
                    </w:rPr>
                  </w:pPr>
                  <w:r>
                    <w:rPr>
                      <w:rFonts w:ascii="Times New Roman" w:hAnsi="Times New Roman"/>
                      <w:color w:val="auto"/>
                      <w:sz w:val="21"/>
                      <w:szCs w:val="21"/>
                    </w:rPr>
                    <w:t>/</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591" w:type="dxa"/>
                  <w:tcMar>
                    <w:top w:w="0" w:type="dxa"/>
                    <w:left w:w="57" w:type="dxa"/>
                    <w:right w:w="57" w:type="dxa"/>
                  </w:tcMar>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4" w:hRule="atLeast"/>
                <w:jc w:val="center"/>
              </w:trPr>
              <w:tc>
                <w:tcPr>
                  <w:tcW w:w="557" w:type="dxa"/>
                  <w:vMerge w:val="continue"/>
                  <w:tcMar>
                    <w:top w:w="0" w:type="dxa"/>
                    <w:left w:w="57" w:type="dxa"/>
                    <w:right w:w="57" w:type="dxa"/>
                  </w:tcMar>
                  <w:vAlign w:val="center"/>
                </w:tcPr>
                <w:p>
                  <w:pPr>
                    <w:jc w:val="center"/>
                    <w:rPr>
                      <w:rFonts w:hint="eastAsia" w:ascii="Times New Roman" w:hAnsi="Times New Roman" w:eastAsia="宋体" w:cs="Times New Roman"/>
                      <w:color w:val="auto"/>
                      <w:lang w:eastAsia="zh-CN"/>
                    </w:rPr>
                  </w:pPr>
                </w:p>
              </w:tc>
              <w:tc>
                <w:tcPr>
                  <w:tcW w:w="1744"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eastAsia="zh-CN"/>
                    </w:rPr>
                  </w:pPr>
                  <w:r>
                    <w:rPr>
                      <w:rFonts w:ascii="Times New Roman" w:hAnsi="Times New Roman"/>
                      <w:color w:val="auto"/>
                      <w:sz w:val="21"/>
                      <w:szCs w:val="21"/>
                    </w:rPr>
                    <w:t>园区敏感点风险准入类防控要求</w:t>
                  </w:r>
                </w:p>
              </w:tc>
              <w:tc>
                <w:tcPr>
                  <w:tcW w:w="2833" w:type="dxa"/>
                  <w:tcMar>
                    <w:top w:w="0" w:type="dxa"/>
                    <w:left w:w="57" w:type="dxa"/>
                    <w:right w:w="57" w:type="dxa"/>
                  </w:tcMar>
                  <w:vAlign w:val="center"/>
                </w:tcPr>
                <w:p>
                  <w:pPr>
                    <w:snapToGrid/>
                    <w:spacing w:line="240" w:lineRule="auto"/>
                    <w:ind w:firstLine="0" w:firstLineChars="0"/>
                    <w:rPr>
                      <w:rFonts w:hint="eastAsia" w:ascii="Times New Roman" w:hAnsi="Times New Roman" w:eastAsia="宋体" w:cs="Times New Roman"/>
                      <w:color w:val="auto"/>
                      <w:lang w:val="en-US" w:eastAsia="zh-CN"/>
                    </w:rPr>
                  </w:pPr>
                  <w:r>
                    <w:rPr>
                      <w:rFonts w:ascii="Times New Roman" w:hAnsi="Times New Roman"/>
                      <w:color w:val="auto"/>
                      <w:sz w:val="21"/>
                      <w:szCs w:val="21"/>
                    </w:rPr>
                    <w:t>紧邻居住、科教、医院等环境敏感点的工业用地，禁止新建环境风险等级高的建设项目。</w:t>
                  </w:r>
                </w:p>
              </w:tc>
              <w:tc>
                <w:tcPr>
                  <w:tcW w:w="1492" w:type="dxa"/>
                  <w:tcMar>
                    <w:top w:w="0" w:type="dxa"/>
                    <w:left w:w="57" w:type="dxa"/>
                    <w:right w:w="57" w:type="dxa"/>
                  </w:tcMar>
                  <w:vAlign w:val="center"/>
                </w:tcPr>
                <w:p>
                  <w:pPr>
                    <w:widowControl/>
                    <w:jc w:val="center"/>
                    <w:textAlignment w:val="center"/>
                    <w:rPr>
                      <w:rFonts w:hint="eastAsia" w:ascii="Times New Roman" w:hAnsi="Times New Roman" w:eastAsia="宋体" w:cs="Times New Roman"/>
                      <w:color w:val="auto"/>
                      <w:lang w:val="en-US" w:eastAsia="zh-CN"/>
                    </w:rPr>
                  </w:pPr>
                  <w:r>
                    <w:rPr>
                      <w:rFonts w:ascii="Times New Roman" w:hAnsi="Times New Roman"/>
                      <w:color w:val="auto"/>
                      <w:sz w:val="21"/>
                      <w:szCs w:val="21"/>
                    </w:rPr>
                    <w:t>该项目周边50米内无居民点、科教、医院等环境敏感点</w:t>
                  </w:r>
                </w:p>
              </w:tc>
              <w:tc>
                <w:tcPr>
                  <w:tcW w:w="591" w:type="dxa"/>
                  <w:tcMar>
                    <w:top w:w="0" w:type="dxa"/>
                    <w:left w:w="57" w:type="dxa"/>
                    <w:right w:w="57" w:type="dxa"/>
                  </w:tcMar>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4" w:hRule="atLeast"/>
                <w:jc w:val="center"/>
              </w:trPr>
              <w:tc>
                <w:tcPr>
                  <w:tcW w:w="557" w:type="dxa"/>
                  <w:vMerge w:val="continue"/>
                  <w:tcMar>
                    <w:top w:w="0" w:type="dxa"/>
                    <w:left w:w="57" w:type="dxa"/>
                    <w:right w:w="57" w:type="dxa"/>
                  </w:tcMar>
                  <w:vAlign w:val="center"/>
                </w:tcPr>
                <w:p>
                  <w:pPr>
                    <w:jc w:val="center"/>
                    <w:rPr>
                      <w:rFonts w:hint="eastAsia" w:ascii="Times New Roman" w:hAnsi="Times New Roman" w:eastAsia="宋体" w:cs="Times New Roman"/>
                      <w:color w:val="auto"/>
                      <w:lang w:eastAsia="zh-CN"/>
                    </w:rPr>
                  </w:pPr>
                </w:p>
              </w:tc>
              <w:tc>
                <w:tcPr>
                  <w:tcW w:w="1744"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eastAsia="zh-CN"/>
                    </w:rPr>
                  </w:pPr>
                  <w:r>
                    <w:rPr>
                      <w:rFonts w:ascii="Times New Roman" w:hAnsi="Times New Roman"/>
                      <w:color w:val="auto"/>
                      <w:sz w:val="21"/>
                      <w:szCs w:val="21"/>
                    </w:rPr>
                    <w:t>园区风险防控体系要求</w:t>
                  </w:r>
                </w:p>
              </w:tc>
              <w:tc>
                <w:tcPr>
                  <w:tcW w:w="2833" w:type="dxa"/>
                  <w:tcMar>
                    <w:top w:w="0" w:type="dxa"/>
                    <w:left w:w="57" w:type="dxa"/>
                    <w:right w:w="57" w:type="dxa"/>
                  </w:tcMar>
                  <w:vAlign w:val="center"/>
                </w:tcPr>
                <w:p>
                  <w:pPr>
                    <w:snapToGrid/>
                    <w:spacing w:line="240" w:lineRule="auto"/>
                    <w:ind w:firstLine="0" w:firstLineChars="0"/>
                    <w:rPr>
                      <w:rFonts w:hint="eastAsia" w:ascii="Times New Roman" w:hAnsi="Times New Roman" w:eastAsia="宋体" w:cs="Times New Roman"/>
                      <w:color w:val="auto"/>
                      <w:lang w:val="en-US" w:eastAsia="zh-CN"/>
                    </w:rPr>
                  </w:pPr>
                  <w:r>
                    <w:rPr>
                      <w:rFonts w:ascii="Times New Roman" w:hAnsi="Times New Roman"/>
                      <w:color w:val="auto"/>
                      <w:sz w:val="21"/>
                      <w:szCs w:val="21"/>
                    </w:rPr>
                    <w:t>园区应建立环境风险防控体系</w:t>
                  </w:r>
                </w:p>
              </w:tc>
              <w:tc>
                <w:tcPr>
                  <w:tcW w:w="1492"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val="en-US" w:eastAsia="zh-CN"/>
                    </w:rPr>
                  </w:pPr>
                  <w:r>
                    <w:rPr>
                      <w:rFonts w:ascii="Times New Roman" w:hAnsi="Times New Roman"/>
                      <w:color w:val="auto"/>
                      <w:sz w:val="21"/>
                      <w:szCs w:val="21"/>
                    </w:rPr>
                    <w:t>园区建立环境风险防控体系</w:t>
                  </w:r>
                </w:p>
              </w:tc>
              <w:tc>
                <w:tcPr>
                  <w:tcW w:w="591"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eastAsia="zh-CN"/>
                    </w:rPr>
                  </w:pPr>
                  <w:r>
                    <w:rPr>
                      <w:rFonts w:ascii="Times New Roman" w:hAnsi="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4" w:hRule="atLeast"/>
                <w:jc w:val="center"/>
              </w:trPr>
              <w:tc>
                <w:tcPr>
                  <w:tcW w:w="557" w:type="dxa"/>
                  <w:vMerge w:val="continue"/>
                  <w:tcMar>
                    <w:top w:w="0" w:type="dxa"/>
                    <w:left w:w="57" w:type="dxa"/>
                    <w:right w:w="57" w:type="dxa"/>
                  </w:tcMar>
                  <w:vAlign w:val="center"/>
                </w:tcPr>
                <w:p>
                  <w:pPr>
                    <w:jc w:val="center"/>
                    <w:rPr>
                      <w:rFonts w:hint="eastAsia" w:ascii="Times New Roman" w:hAnsi="Times New Roman" w:eastAsia="宋体" w:cs="Times New Roman"/>
                      <w:color w:val="auto"/>
                      <w:lang w:eastAsia="zh-CN"/>
                    </w:rPr>
                  </w:pPr>
                </w:p>
              </w:tc>
              <w:tc>
                <w:tcPr>
                  <w:tcW w:w="1744"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eastAsia="zh-CN"/>
                    </w:rPr>
                  </w:pPr>
                  <w:r>
                    <w:rPr>
                      <w:rFonts w:ascii="Times New Roman" w:hAnsi="Times New Roman"/>
                      <w:color w:val="auto"/>
                      <w:sz w:val="21"/>
                      <w:szCs w:val="21"/>
                    </w:rPr>
                    <w:t>企业风险防控配套措施</w:t>
                  </w:r>
                </w:p>
              </w:tc>
              <w:tc>
                <w:tcPr>
                  <w:tcW w:w="2833" w:type="dxa"/>
                  <w:tcMar>
                    <w:top w:w="0" w:type="dxa"/>
                    <w:left w:w="57" w:type="dxa"/>
                    <w:right w:w="57" w:type="dxa"/>
                  </w:tcMar>
                  <w:vAlign w:val="center"/>
                </w:tcPr>
                <w:p>
                  <w:pPr>
                    <w:snapToGrid/>
                    <w:spacing w:line="240" w:lineRule="auto"/>
                    <w:ind w:firstLine="0" w:firstLineChars="0"/>
                    <w:rPr>
                      <w:rFonts w:hint="eastAsia" w:ascii="Times New Roman" w:hAnsi="Times New Roman" w:eastAsia="宋体" w:cs="Times New Roman"/>
                      <w:color w:val="auto"/>
                      <w:lang w:val="en-US" w:eastAsia="zh-CN"/>
                    </w:rPr>
                  </w:pPr>
                  <w:r>
                    <w:rPr>
                      <w:rFonts w:ascii="Times New Roman" w:hAnsi="Times New Roman"/>
                      <w:color w:val="auto"/>
                      <w:sz w:val="21"/>
                      <w:szCs w:val="21"/>
                    </w:rPr>
                    <w:t>重点企业建立完整环境风险应急预案，并定期演练。对存储/暂存废水、废液、化学品、危险废物等区域应采取分区防渗措施。</w:t>
                  </w:r>
                </w:p>
              </w:tc>
              <w:tc>
                <w:tcPr>
                  <w:tcW w:w="1492" w:type="dxa"/>
                  <w:tcMar>
                    <w:top w:w="0" w:type="dxa"/>
                    <w:left w:w="57" w:type="dxa"/>
                    <w:right w:w="57" w:type="dxa"/>
                  </w:tcMar>
                  <w:vAlign w:val="center"/>
                </w:tcPr>
                <w:p>
                  <w:pPr>
                    <w:widowControl/>
                    <w:jc w:val="center"/>
                    <w:textAlignment w:val="center"/>
                    <w:rPr>
                      <w:rFonts w:hint="eastAsia" w:ascii="Times New Roman" w:hAnsi="Times New Roman" w:eastAsia="宋体" w:cs="Times New Roman"/>
                      <w:color w:val="auto"/>
                      <w:lang w:val="en-US" w:eastAsia="zh-CN"/>
                    </w:rPr>
                  </w:pPr>
                  <w:r>
                    <w:rPr>
                      <w:rFonts w:ascii="Times New Roman" w:hAnsi="Times New Roman"/>
                      <w:color w:val="auto"/>
                      <w:sz w:val="21"/>
                      <w:szCs w:val="21"/>
                    </w:rPr>
                    <w:t>企业建立完整环境风险应急预案，并定期演练</w:t>
                  </w:r>
                </w:p>
              </w:tc>
              <w:tc>
                <w:tcPr>
                  <w:tcW w:w="591" w:type="dxa"/>
                  <w:tcMar>
                    <w:top w:w="0" w:type="dxa"/>
                    <w:left w:w="57" w:type="dxa"/>
                    <w:right w:w="57" w:type="dxa"/>
                  </w:tcMar>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4" w:hRule="atLeast"/>
                <w:jc w:val="center"/>
              </w:trPr>
              <w:tc>
                <w:tcPr>
                  <w:tcW w:w="557" w:type="dxa"/>
                  <w:vMerge w:val="continue"/>
                  <w:tcMar>
                    <w:top w:w="0" w:type="dxa"/>
                    <w:left w:w="57" w:type="dxa"/>
                    <w:right w:w="57" w:type="dxa"/>
                  </w:tcMar>
                  <w:vAlign w:val="center"/>
                </w:tcPr>
                <w:p>
                  <w:pPr>
                    <w:jc w:val="center"/>
                    <w:rPr>
                      <w:rFonts w:hint="eastAsia" w:ascii="Times New Roman" w:hAnsi="Times New Roman" w:eastAsia="宋体" w:cs="Times New Roman"/>
                      <w:color w:val="auto"/>
                      <w:lang w:eastAsia="zh-CN"/>
                    </w:rPr>
                  </w:pPr>
                </w:p>
              </w:tc>
              <w:tc>
                <w:tcPr>
                  <w:tcW w:w="1744"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eastAsia="zh-CN"/>
                    </w:rPr>
                  </w:pPr>
                  <w:r>
                    <w:rPr>
                      <w:rFonts w:ascii="Times New Roman" w:hAnsi="Times New Roman"/>
                      <w:color w:val="auto"/>
                      <w:sz w:val="21"/>
                      <w:szCs w:val="21"/>
                    </w:rPr>
                    <w:t>企业生产过程风险防控要求</w:t>
                  </w:r>
                </w:p>
              </w:tc>
              <w:tc>
                <w:tcPr>
                  <w:tcW w:w="2833" w:type="dxa"/>
                  <w:tcMar>
                    <w:top w:w="0" w:type="dxa"/>
                    <w:left w:w="57" w:type="dxa"/>
                    <w:right w:w="57" w:type="dxa"/>
                  </w:tcMar>
                  <w:vAlign w:val="center"/>
                </w:tcPr>
                <w:p>
                  <w:pPr>
                    <w:snapToGrid/>
                    <w:spacing w:line="240" w:lineRule="auto"/>
                    <w:ind w:firstLine="0" w:firstLineChars="0"/>
                    <w:jc w:val="center"/>
                    <w:rPr>
                      <w:rFonts w:hint="eastAsia" w:ascii="Times New Roman" w:hAnsi="Times New Roman" w:eastAsia="宋体" w:cs="Times New Roman"/>
                      <w:color w:val="auto"/>
                      <w:lang w:val="en-US" w:eastAsia="zh-CN"/>
                    </w:rPr>
                  </w:pPr>
                  <w:r>
                    <w:rPr>
                      <w:rFonts w:ascii="Times New Roman" w:hAnsi="Times New Roman"/>
                      <w:color w:val="auto"/>
                      <w:sz w:val="21"/>
                      <w:szCs w:val="21"/>
                    </w:rPr>
                    <w:t>/</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591" w:type="dxa"/>
                  <w:tcMar>
                    <w:top w:w="0" w:type="dxa"/>
                    <w:left w:w="57" w:type="dxa"/>
                    <w:right w:w="57" w:type="dxa"/>
                  </w:tcMar>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vMerge w:val="restart"/>
                  <w:tcMar>
                    <w:top w:w="0" w:type="dxa"/>
                    <w:left w:w="57" w:type="dxa"/>
                    <w:right w:w="57" w:type="dxa"/>
                  </w:tcMar>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资源利用效率要求</w:t>
                  </w: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val="en-US" w:eastAsia="zh-CN"/>
                    </w:rPr>
                  </w:pPr>
                  <w:r>
                    <w:rPr>
                      <w:rFonts w:ascii="Times New Roman" w:hAnsi="Times New Roman"/>
                      <w:color w:val="auto"/>
                      <w:sz w:val="21"/>
                      <w:szCs w:val="21"/>
                    </w:rPr>
                    <w:t>水资源重复利用率要求</w:t>
                  </w:r>
                </w:p>
              </w:tc>
              <w:tc>
                <w:tcPr>
                  <w:tcW w:w="2833"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val="en-US" w:eastAsia="zh-CN"/>
                    </w:rPr>
                  </w:pPr>
                  <w:r>
                    <w:rPr>
                      <w:rFonts w:ascii="Times New Roman" w:hAnsi="Times New Roman"/>
                      <w:color w:val="auto"/>
                      <w:sz w:val="21"/>
                      <w:szCs w:val="21"/>
                    </w:rPr>
                    <w:t>园区工业用水重复利用率不得低于75%</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项目生产用水重复利用率超过75%</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vMerge w:val="continue"/>
                  <w:tcMar>
                    <w:top w:w="0" w:type="dxa"/>
                    <w:left w:w="57" w:type="dxa"/>
                    <w:right w:w="57" w:type="dxa"/>
                  </w:tcMar>
                  <w:vAlign w:val="center"/>
                </w:tcPr>
                <w:p>
                  <w:pPr>
                    <w:jc w:val="center"/>
                    <w:rPr>
                      <w:rFonts w:hint="default" w:ascii="Times New Roman" w:hAnsi="Times New Roman" w:eastAsia="宋体" w:cs="Times New Roman"/>
                      <w:color w:val="auto"/>
                    </w:rPr>
                  </w:pP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eastAsia="zh-CN"/>
                    </w:rPr>
                  </w:pPr>
                  <w:r>
                    <w:rPr>
                      <w:rFonts w:ascii="Times New Roman" w:hAnsi="Times New Roman"/>
                      <w:color w:val="auto"/>
                      <w:sz w:val="21"/>
                      <w:szCs w:val="21"/>
                    </w:rPr>
                    <w:t>水资源利用效率和强度要求</w:t>
                  </w:r>
                </w:p>
              </w:tc>
              <w:tc>
                <w:tcPr>
                  <w:tcW w:w="2833"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eastAsia="zh-CN"/>
                    </w:rPr>
                  </w:pPr>
                  <w:r>
                    <w:rPr>
                      <w:rFonts w:ascii="Times New Roman" w:hAnsi="Times New Roman"/>
                      <w:color w:val="auto"/>
                      <w:sz w:val="21"/>
                      <w:szCs w:val="21"/>
                    </w:rPr>
                    <w:t>2020年万元GDP用水量较2015年降低30%</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vMerge w:val="continue"/>
                  <w:tcMar>
                    <w:top w:w="0" w:type="dxa"/>
                    <w:left w:w="57" w:type="dxa"/>
                    <w:right w:w="57" w:type="dxa"/>
                  </w:tcMar>
                  <w:vAlign w:val="center"/>
                </w:tcPr>
                <w:p>
                  <w:pPr>
                    <w:jc w:val="center"/>
                    <w:rPr>
                      <w:rFonts w:hint="default" w:ascii="Times New Roman" w:hAnsi="Times New Roman" w:eastAsia="宋体" w:cs="Times New Roman"/>
                      <w:color w:val="auto"/>
                    </w:rPr>
                  </w:pP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eastAsia="zh-CN"/>
                    </w:rPr>
                  </w:pPr>
                  <w:r>
                    <w:rPr>
                      <w:rFonts w:ascii="Times New Roman" w:hAnsi="Times New Roman"/>
                      <w:color w:val="auto"/>
                      <w:sz w:val="21"/>
                      <w:szCs w:val="21"/>
                    </w:rPr>
                    <w:t>地下水禁采要求</w:t>
                  </w:r>
                </w:p>
              </w:tc>
              <w:tc>
                <w:tcPr>
                  <w:tcW w:w="2833"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eastAsia="zh-CN"/>
                    </w:rPr>
                  </w:pPr>
                  <w:r>
                    <w:rPr>
                      <w:rFonts w:ascii="Times New Roman" w:hAnsi="Times New Roman"/>
                      <w:color w:val="auto"/>
                      <w:sz w:val="21"/>
                      <w:szCs w:val="21"/>
                    </w:rPr>
                    <w:t>禁止新增工业用水取用地下水</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项目不使用地下水</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vMerge w:val="continue"/>
                  <w:tcMar>
                    <w:top w:w="0" w:type="dxa"/>
                    <w:left w:w="57" w:type="dxa"/>
                    <w:right w:w="57" w:type="dxa"/>
                  </w:tcMar>
                  <w:vAlign w:val="center"/>
                </w:tcPr>
                <w:p>
                  <w:pPr>
                    <w:jc w:val="center"/>
                    <w:rPr>
                      <w:rFonts w:hint="default" w:ascii="Times New Roman" w:hAnsi="Times New Roman" w:eastAsia="宋体" w:cs="Times New Roman"/>
                      <w:color w:val="auto"/>
                    </w:rPr>
                  </w:pP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eastAsia="zh-CN"/>
                    </w:rPr>
                  </w:pPr>
                  <w:r>
                    <w:rPr>
                      <w:rFonts w:ascii="Times New Roman" w:hAnsi="Times New Roman"/>
                      <w:color w:val="auto"/>
                      <w:sz w:val="21"/>
                      <w:szCs w:val="21"/>
                    </w:rPr>
                    <w:t>地下水开采总量要求</w:t>
                  </w:r>
                </w:p>
              </w:tc>
              <w:tc>
                <w:tcPr>
                  <w:tcW w:w="2833"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eastAsia="zh-CN"/>
                    </w:rPr>
                  </w:pPr>
                  <w:r>
                    <w:rPr>
                      <w:rFonts w:ascii="Times New Roman" w:hAnsi="Times New Roman"/>
                      <w:color w:val="auto"/>
                      <w:sz w:val="21"/>
                      <w:szCs w:val="21"/>
                    </w:rPr>
                    <w:t>/</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vMerge w:val="continue"/>
                  <w:tcMar>
                    <w:top w:w="0" w:type="dxa"/>
                    <w:left w:w="57" w:type="dxa"/>
                    <w:right w:w="57" w:type="dxa"/>
                  </w:tcMar>
                  <w:vAlign w:val="center"/>
                </w:tcPr>
                <w:p>
                  <w:pPr>
                    <w:jc w:val="center"/>
                    <w:rPr>
                      <w:rFonts w:hint="default" w:ascii="Times New Roman" w:hAnsi="Times New Roman" w:eastAsia="宋体" w:cs="Times New Roman"/>
                      <w:color w:val="auto"/>
                    </w:rPr>
                  </w:pP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eastAsia="zh-CN"/>
                    </w:rPr>
                  </w:pPr>
                  <w:r>
                    <w:rPr>
                      <w:rFonts w:ascii="Times New Roman" w:hAnsi="Times New Roman"/>
                      <w:color w:val="auto"/>
                      <w:sz w:val="21"/>
                      <w:szCs w:val="21"/>
                    </w:rPr>
                    <w:t>能源利用效率要求</w:t>
                  </w:r>
                </w:p>
              </w:tc>
              <w:tc>
                <w:tcPr>
                  <w:tcW w:w="2833"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eastAsia="zh-CN"/>
                    </w:rPr>
                  </w:pPr>
                  <w:r>
                    <w:rPr>
                      <w:rFonts w:ascii="Times New Roman" w:hAnsi="Times New Roman"/>
                      <w:color w:val="auto"/>
                      <w:sz w:val="21"/>
                      <w:szCs w:val="21"/>
                    </w:rPr>
                    <w:t>能源消耗强度（吨标煤/万元GDP）低于0.73</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57" w:type="dxa"/>
                  <w:vMerge w:val="continue"/>
                  <w:tcMar>
                    <w:top w:w="0" w:type="dxa"/>
                    <w:left w:w="57" w:type="dxa"/>
                    <w:right w:w="57" w:type="dxa"/>
                  </w:tcMar>
                  <w:vAlign w:val="center"/>
                </w:tcPr>
                <w:p>
                  <w:pPr>
                    <w:jc w:val="center"/>
                    <w:rPr>
                      <w:rFonts w:hint="default" w:ascii="Times New Roman" w:hAnsi="Times New Roman" w:eastAsia="宋体" w:cs="Times New Roman"/>
                      <w:color w:val="auto"/>
                    </w:rPr>
                  </w:pPr>
                </w:p>
              </w:tc>
              <w:tc>
                <w:tcPr>
                  <w:tcW w:w="1744"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eastAsia="zh-CN"/>
                    </w:rPr>
                  </w:pPr>
                  <w:r>
                    <w:rPr>
                      <w:rFonts w:ascii="Times New Roman" w:hAnsi="Times New Roman"/>
                      <w:color w:val="auto"/>
                      <w:sz w:val="21"/>
                      <w:szCs w:val="21"/>
                    </w:rPr>
                    <w:t>岸线管控要求</w:t>
                  </w:r>
                </w:p>
              </w:tc>
              <w:tc>
                <w:tcPr>
                  <w:tcW w:w="2833" w:type="dxa"/>
                  <w:tcMar>
                    <w:top w:w="0" w:type="dxa"/>
                    <w:left w:w="57" w:type="dxa"/>
                    <w:right w:w="57" w:type="dxa"/>
                  </w:tcMar>
                  <w:vAlign w:val="center"/>
                </w:tcPr>
                <w:p>
                  <w:pPr>
                    <w:snapToGrid/>
                    <w:spacing w:line="240" w:lineRule="auto"/>
                    <w:ind w:firstLine="0" w:firstLineChars="0"/>
                    <w:jc w:val="center"/>
                    <w:rPr>
                      <w:rFonts w:hint="default" w:ascii="Times New Roman" w:hAnsi="Times New Roman" w:eastAsia="宋体" w:cs="Times New Roman"/>
                      <w:color w:val="auto"/>
                      <w:lang w:eastAsia="zh-CN"/>
                    </w:rPr>
                  </w:pPr>
                  <w:r>
                    <w:rPr>
                      <w:rFonts w:ascii="Times New Roman" w:hAnsi="Times New Roman"/>
                      <w:color w:val="auto"/>
                      <w:sz w:val="21"/>
                      <w:szCs w:val="21"/>
                    </w:rPr>
                    <w:t>/</w:t>
                  </w:r>
                </w:p>
              </w:tc>
              <w:tc>
                <w:tcPr>
                  <w:tcW w:w="1492"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591" w:type="dxa"/>
                  <w:tcMar>
                    <w:top w:w="0" w:type="dxa"/>
                    <w:left w:w="57" w:type="dxa"/>
                    <w:right w:w="57" w:type="dxa"/>
                  </w:tcMar>
                  <w:vAlign w:val="center"/>
                </w:tcPr>
                <w:p>
                  <w:pPr>
                    <w:widowControl/>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bl>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综上所述，本项目建设满足“三线一单”环境管理要求。</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4、与《江西省长江经济带发展负面清单实施细则（试行，2022年版）》（赣长江办[2022]7号）相符性</w:t>
            </w:r>
          </w:p>
          <w:p>
            <w:pPr>
              <w:pStyle w:val="74"/>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表1-7 与（赣长江办[2022]7号）相符性分析</w:t>
            </w:r>
          </w:p>
          <w:tbl>
            <w:tblPr>
              <w:tblStyle w:val="57"/>
              <w:tblW w:w="716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3"/>
              <w:gridCol w:w="4117"/>
              <w:gridCol w:w="1954"/>
              <w:gridCol w:w="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内容</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本项目情况</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禁止建设不符合国家和省级港口布局规划以及港口总体规划的码头项目。禁止建设不符合《长江干线过江通道布局规划》的过长江通道项目。</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本项目为</w:t>
                  </w:r>
                  <w:r>
                    <w:rPr>
                      <w:rFonts w:hint="eastAsia" w:ascii="Times New Roman" w:hAnsi="Times New Roman" w:eastAsia="宋体" w:cs="Times New Roman"/>
                      <w:b w:val="0"/>
                      <w:bCs w:val="0"/>
                      <w:color w:val="auto"/>
                      <w:sz w:val="21"/>
                      <w:szCs w:val="21"/>
                      <w:highlight w:val="none"/>
                      <w:vertAlign w:val="baseline"/>
                      <w:lang w:val="en-US" w:eastAsia="zh-CN"/>
                    </w:rPr>
                    <w:t>其他非金属矿物制品制造项目</w:t>
                  </w:r>
                  <w:r>
                    <w:rPr>
                      <w:rFonts w:hint="default" w:ascii="Times New Roman" w:hAnsi="Times New Roman" w:eastAsia="宋体" w:cs="Times New Roman"/>
                      <w:b w:val="0"/>
                      <w:bCs w:val="0"/>
                      <w:color w:val="auto"/>
                      <w:sz w:val="21"/>
                      <w:szCs w:val="21"/>
                      <w:highlight w:val="none"/>
                      <w:vertAlign w:val="baseline"/>
                      <w:lang w:val="en-US" w:eastAsia="zh-CN"/>
                    </w:rPr>
                    <w:t>，不属于码头项目，不属于长江通道项目。</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禁止在自然保护区核心区、缓冲区的岸线和河段范围内投资建设旅游和生产经营项目。</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本项目选址</w:t>
                  </w:r>
                  <w:r>
                    <w:rPr>
                      <w:rFonts w:hint="eastAsia" w:ascii="Times New Roman" w:hAnsi="Times New Roman" w:eastAsia="宋体" w:cs="Times New Roman"/>
                      <w:b w:val="0"/>
                      <w:bCs w:val="0"/>
                      <w:color w:val="auto"/>
                      <w:sz w:val="21"/>
                      <w:szCs w:val="21"/>
                      <w:highlight w:val="none"/>
                      <w:vertAlign w:val="baseline"/>
                      <w:lang w:val="en-US" w:eastAsia="zh-CN"/>
                    </w:rPr>
                    <w:t>奉新县高新技术产业园区内</w:t>
                  </w:r>
                  <w:r>
                    <w:rPr>
                      <w:rFonts w:hint="default" w:ascii="Times New Roman" w:hAnsi="Times New Roman" w:eastAsia="宋体" w:cs="Times New Roman"/>
                      <w:b w:val="0"/>
                      <w:bCs w:val="0"/>
                      <w:color w:val="auto"/>
                      <w:sz w:val="21"/>
                      <w:szCs w:val="21"/>
                      <w:highlight w:val="none"/>
                      <w:vertAlign w:val="baseline"/>
                      <w:lang w:val="en-US" w:eastAsia="zh-CN"/>
                    </w:rPr>
                    <w:t>，不属于自然保护区和风景</w:t>
                  </w:r>
                  <w:r>
                    <w:rPr>
                      <w:rFonts w:hint="eastAsia" w:ascii="Times New Roman" w:hAnsi="Times New Roman" w:eastAsia="宋体" w:cs="Times New Roman"/>
                      <w:b w:val="0"/>
                      <w:bCs w:val="0"/>
                      <w:color w:val="auto"/>
                      <w:sz w:val="21"/>
                      <w:szCs w:val="21"/>
                      <w:highlight w:val="none"/>
                      <w:vertAlign w:val="baseline"/>
                      <w:lang w:val="en-US" w:eastAsia="zh-CN"/>
                    </w:rPr>
                    <w:t>名胜区</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禁止在风景名胜区核心景区的岸线和河段范围内开展以下行为：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（一）开山、釆石、开矿、开荒、修坟立碑等破坏景观、植被和地形地貌的活动。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（二）修建储存爆炸性、易燃性、放射性、毒害性、腐蚀性物品的设施。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（三）违反风景名胜区规划，建设与风景名胜资源保护无关的设施。</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不在国家级、省级风景名胜区的岸线和河段范围内</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禁止在饮用水水源一级保护区的岸线和河段范围内开展下列行为：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（一）新建、改建、扩建与供水设施和保护水源无关的建设项目；已建成的与供水设施和保护水源无关的建设项目，由县级以上人民政府责令拆除或者关闭。</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（二）禁止在饮用水水源一级保护区内从事网箱养殖、旅游游泳、垂钓或者其他可能污染饮用水水体的活动</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不在饮用水水源一级保护区的岸线和河段范围内</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禁止在饮用水水源二级保护区的岸线和河段范围内开展下列行为：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（一）新建、改建、扩建排放污染物的建设项目；已建成的排放污染物的建设项目，由县级以上人民政府责令拆除或者关闭</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（二）在饮用水水源二级保护区内从事网箱养殖、旅游等活动的，应当按照规定采取措施，防止污染饮用水水体。</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不在饮用水水源二级保护区的岸线和河段范围内</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在水产种质资源保护区的岸线和河段范围内新建围湖（河）造田（地）等投资建设项目。单位和个人在水产种质资源保护区内从事水生生物资源调査、科学研究、教学实习、参观游览、影视拍摄等活动，应当遵守有关法律法规和保护区管理制度，不得损害水产种质资源及其生存环境.</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不在国家级、省级水产种质资源保护区的岸线和河段范围内</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7</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除国家规定的外，禁止在国家湿地公园的岸线和河段范围内挖沙、釆矿以及任何不符合主体功能定位的投资建设项目。</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本项目为</w:t>
                  </w:r>
                  <w:r>
                    <w:rPr>
                      <w:rFonts w:hint="eastAsia" w:ascii="Times New Roman" w:hAnsi="Times New Roman" w:eastAsia="宋体" w:cs="Times New Roman"/>
                      <w:b w:val="0"/>
                      <w:bCs w:val="0"/>
                      <w:color w:val="auto"/>
                      <w:sz w:val="21"/>
                      <w:szCs w:val="21"/>
                      <w:highlight w:val="none"/>
                      <w:vertAlign w:val="baseline"/>
                      <w:lang w:val="en-US" w:eastAsia="zh-CN"/>
                    </w:rPr>
                    <w:t>其他非金属矿物制品制造</w:t>
                  </w:r>
                  <w:r>
                    <w:rPr>
                      <w:rFonts w:hint="default" w:ascii="Times New Roman" w:hAnsi="Times New Roman" w:eastAsia="宋体" w:cs="Times New Roman"/>
                      <w:b w:val="0"/>
                      <w:bCs w:val="0"/>
                      <w:color w:val="auto"/>
                      <w:sz w:val="21"/>
                      <w:szCs w:val="21"/>
                      <w:highlight w:val="none"/>
                      <w:vertAlign w:val="baseline"/>
                      <w:lang w:val="en-US" w:eastAsia="zh-CN"/>
                    </w:rPr>
                    <w:t>，不在国家湿地公园的岸线和河段范围内</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8</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不在岸线保护区内</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9</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禁止在《全国重要江河湖泊水功能区划》划定的河段及湖泊保护区、保留区内投资建设不利于水资源及自然生态保护的项目。</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不在保护区、保留区内</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禁止未经许可在长江干支流及湖泊新设、改设或扩大排污口。</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ascii="Times New Roman" w:hAnsi="Times New Roman" w:eastAsia="宋体" w:cs="Times New Roman"/>
                      <w:b w:val="0"/>
                      <w:bCs w:val="0"/>
                      <w:color w:val="auto"/>
                      <w:sz w:val="21"/>
                      <w:szCs w:val="21"/>
                      <w:highlight w:val="none"/>
                      <w:vertAlign w:val="baseline"/>
                      <w:lang w:val="en-US" w:eastAsia="zh-CN"/>
                    </w:rPr>
                    <w:t>生活污</w:t>
                  </w:r>
                  <w:r>
                    <w:rPr>
                      <w:rFonts w:hint="default" w:ascii="Times New Roman" w:hAnsi="Times New Roman" w:eastAsia="宋体" w:cs="Times New Roman"/>
                      <w:b w:val="0"/>
                      <w:bCs w:val="0"/>
                      <w:color w:val="auto"/>
                      <w:sz w:val="21"/>
                      <w:szCs w:val="21"/>
                      <w:highlight w:val="none"/>
                      <w:vertAlign w:val="baseline"/>
                      <w:lang w:val="en-US" w:eastAsia="zh-CN"/>
                    </w:rPr>
                    <w:t>水</w:t>
                  </w:r>
                  <w:r>
                    <w:rPr>
                      <w:rFonts w:hint="eastAsia" w:ascii="Times New Roman" w:hAnsi="Times New Roman" w:eastAsia="宋体" w:cs="Times New Roman"/>
                      <w:b w:val="0"/>
                      <w:bCs w:val="0"/>
                      <w:color w:val="auto"/>
                      <w:sz w:val="21"/>
                      <w:szCs w:val="21"/>
                      <w:highlight w:val="none"/>
                      <w:vertAlign w:val="baseline"/>
                      <w:lang w:val="en-US" w:eastAsia="zh-CN"/>
                    </w:rPr>
                    <w:t>经隔油池+化粪池处理后排入园区污水处理厂；洗车用水经沉淀池处理后循环使用，不外排</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11</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禁止在长江干流江西段、鄱阳湖和《率先全面禁捕的长江流域水生生物保护区名录》中的水生生物保护区开展生产性捕捞。</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不在水生生物保护区</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12</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禁止在长江干支流、重要湖泊岸线一公里范围内新建、扩建化工园区和化工项目。</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本项目距离</w:t>
                  </w:r>
                  <w:r>
                    <w:rPr>
                      <w:rFonts w:hint="eastAsia" w:ascii="Times New Roman" w:hAnsi="Times New Roman" w:eastAsia="宋体" w:cs="Times New Roman"/>
                      <w:b w:val="0"/>
                      <w:bCs w:val="0"/>
                      <w:color w:val="auto"/>
                      <w:sz w:val="21"/>
                      <w:szCs w:val="21"/>
                      <w:highlight w:val="none"/>
                      <w:vertAlign w:val="baseline"/>
                      <w:lang w:val="en-US" w:eastAsia="zh-CN"/>
                    </w:rPr>
                    <w:t>南潦河4.049km，不位于</w:t>
                  </w:r>
                  <w:r>
                    <w:rPr>
                      <w:rFonts w:hint="default" w:ascii="Times New Roman" w:hAnsi="Times New Roman" w:eastAsia="宋体" w:cs="Times New Roman"/>
                      <w:b w:val="0"/>
                      <w:bCs w:val="0"/>
                      <w:color w:val="auto"/>
                      <w:sz w:val="21"/>
                      <w:szCs w:val="21"/>
                      <w:highlight w:val="none"/>
                      <w:vertAlign w:val="baseline"/>
                      <w:lang w:val="en-US" w:eastAsia="zh-CN"/>
                    </w:rPr>
                    <w:t>长江干支流、重要湖泊岸线一公里范围内，符合要求</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13</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禁止在长江干流岸线三公里范围内和重要支流岸线一公里范围内新建、改建、扩建尾矿库、冶炼渣库和磷石膏库，以提升安全、生态环境保护水平为目的的改建除外。</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本项目距离</w:t>
                  </w:r>
                  <w:r>
                    <w:rPr>
                      <w:rFonts w:hint="eastAsia" w:ascii="Times New Roman" w:hAnsi="Times New Roman" w:eastAsia="宋体" w:cs="Times New Roman"/>
                      <w:b w:val="0"/>
                      <w:bCs w:val="0"/>
                      <w:color w:val="auto"/>
                      <w:sz w:val="21"/>
                      <w:szCs w:val="21"/>
                      <w:highlight w:val="none"/>
                      <w:vertAlign w:val="baseline"/>
                      <w:lang w:val="en-US" w:eastAsia="zh-CN"/>
                    </w:rPr>
                    <w:t>南潦河4.049km，不位于</w:t>
                  </w:r>
                  <w:r>
                    <w:rPr>
                      <w:rFonts w:hint="default" w:ascii="Times New Roman" w:hAnsi="Times New Roman" w:eastAsia="宋体" w:cs="Times New Roman"/>
                      <w:b w:val="0"/>
                      <w:bCs w:val="0"/>
                      <w:color w:val="auto"/>
                      <w:sz w:val="21"/>
                      <w:szCs w:val="21"/>
                      <w:highlight w:val="none"/>
                      <w:vertAlign w:val="baseline"/>
                      <w:lang w:val="en-US" w:eastAsia="zh-CN"/>
                    </w:rPr>
                    <w:t>长江干流岸线三公里范围内和重要支流岸线一公里范围内，符合要求</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14</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禁止在合规园区外新建、扩建钢铁、石化、化工、焦化、建材、有色、制浆造纸等高污染项目。</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本项目不属于所列高污染项目</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15</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禁止新建、扩建不符合国家石化、现代煤化工等产业布局规划的项目</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不属于此类项目</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16</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新建、扩建法律法规和相关政策明令禁止的落后产能项目，严格执行《产业结构调整指导目录》中淘汰类和限制类有关规定，禁止开展投资建设属于淘汰类的项目及其相关活动，禁止开展投资新建、扩建属于限制类的项目及其相关活动。对于属于限制类的现有生产能力，允许企业在一定期限内采取措施改造升级，严禁以改造为名扩大产能</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本项目属于《产业结构调整指导目录（</w:t>
                  </w:r>
                  <w:r>
                    <w:rPr>
                      <w:rFonts w:hint="eastAsia" w:ascii="Times New Roman" w:hAnsi="Times New Roman" w:eastAsia="宋体" w:cs="Times New Roman"/>
                      <w:b w:val="0"/>
                      <w:bCs w:val="0"/>
                      <w:color w:val="auto"/>
                      <w:sz w:val="21"/>
                      <w:szCs w:val="21"/>
                      <w:highlight w:val="none"/>
                      <w:vertAlign w:val="baseline"/>
                      <w:lang w:val="en-US" w:eastAsia="zh-CN"/>
                    </w:rPr>
                    <w:t>2024</w:t>
                  </w:r>
                  <w:r>
                    <w:rPr>
                      <w:rFonts w:hint="default" w:ascii="Times New Roman" w:hAnsi="Times New Roman" w:eastAsia="宋体" w:cs="Times New Roman"/>
                      <w:b w:val="0"/>
                      <w:bCs w:val="0"/>
                      <w:color w:val="auto"/>
                      <w:sz w:val="21"/>
                      <w:szCs w:val="21"/>
                      <w:highlight w:val="none"/>
                      <w:vertAlign w:val="baseline"/>
                      <w:lang w:val="en-US" w:eastAsia="zh-CN"/>
                    </w:rPr>
                    <w:t>年本）》</w:t>
                  </w:r>
                  <w:r>
                    <w:rPr>
                      <w:rFonts w:hint="eastAsia" w:ascii="Times New Roman" w:hAnsi="Times New Roman" w:eastAsia="宋体" w:cs="Times New Roman"/>
                      <w:b w:val="0"/>
                      <w:bCs w:val="0"/>
                      <w:color w:val="auto"/>
                      <w:sz w:val="21"/>
                      <w:szCs w:val="21"/>
                      <w:highlight w:val="none"/>
                      <w:vertAlign w:val="baseline"/>
                      <w:lang w:val="en-US" w:eastAsia="zh-CN"/>
                    </w:rPr>
                    <w:t>中鼓励类项目</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17</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新建、扩建不符合国家产能置换要求的钢铁、电解铝、水泥熟料、平板玻璃、船舶等严重过剩产能行业的项目。严格执行《国务院关于化解产能严重过剩矛盾的指导意见》，各地各部门不得以任何名义、任何方式新增产能片；对确有必要建设的，必须严格执行产能置换实施办法，实施减量或等量置换，依法依规办理有关手续</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不属于此类项目</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18</w:t>
                  </w:r>
                </w:p>
              </w:tc>
              <w:tc>
                <w:tcPr>
                  <w:tcW w:w="28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新建、扩建不符合要求的高耗能高排放项目。严格执行《江西省人民政府办公厅关于严格高耗能高排放项目准入管理的实施意见》（赣府厅发〔2021）33号），加强项目审查论证，落实等量、减量替代要求，规范项目行政审批。</w:t>
                  </w:r>
                </w:p>
              </w:tc>
              <w:tc>
                <w:tcPr>
                  <w:tcW w:w="13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本项目按照要求申请相关总量确认书</w:t>
                  </w:r>
                </w:p>
              </w:tc>
              <w:tc>
                <w:tcPr>
                  <w:tcW w:w="4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相符</w:t>
                  </w:r>
                </w:p>
              </w:tc>
            </w:tr>
          </w:tbl>
          <w:p>
            <w:pPr>
              <w:spacing w:line="360" w:lineRule="auto"/>
              <w:ind w:firstLine="480" w:firstLineChars="200"/>
              <w:rPr>
                <w:rFonts w:hint="default" w:ascii="Times New Roman" w:hAnsi="Times New Roman" w:cs="Times New Roman"/>
                <w:color w:val="FF0000"/>
                <w:sz w:val="24"/>
                <w:szCs w:val="24"/>
                <w:lang w:val="en-US" w:eastAsia="zh-CN"/>
              </w:rPr>
            </w:pPr>
          </w:p>
        </w:tc>
      </w:tr>
    </w:tbl>
    <w:p>
      <w:pPr>
        <w:widowControl/>
        <w:spacing w:line="360" w:lineRule="auto"/>
        <w:jc w:val="left"/>
        <w:rPr>
          <w:rFonts w:hint="default" w:ascii="Times New Roman" w:hAnsi="Times New Roman" w:eastAsia="宋体" w:cs="Times New Roman"/>
          <w:color w:val="FF0000"/>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286" w:charSpace="0"/>
        </w:sectPr>
      </w:pPr>
    </w:p>
    <w:p>
      <w:pPr>
        <w:pStyle w:val="2"/>
        <w:spacing w:line="360" w:lineRule="auto"/>
        <w:jc w:val="center"/>
        <w:rPr>
          <w:rFonts w:hint="default" w:ascii="Times New Roman" w:hAnsi="Times New Roman" w:eastAsia="宋体" w:cs="Times New Roman"/>
          <w:b w:val="0"/>
          <w:bCs/>
          <w:snapToGrid w:val="0"/>
          <w:color w:val="auto"/>
          <w:sz w:val="30"/>
          <w:szCs w:val="30"/>
        </w:rPr>
      </w:pPr>
      <w:bookmarkStart w:id="2" w:name="_Toc17182"/>
      <w:r>
        <w:rPr>
          <w:rFonts w:hint="default" w:ascii="Times New Roman" w:hAnsi="Times New Roman" w:eastAsia="宋体" w:cs="Times New Roman"/>
          <w:b w:val="0"/>
          <w:bCs/>
          <w:snapToGrid w:val="0"/>
          <w:color w:val="auto"/>
          <w:sz w:val="30"/>
          <w:szCs w:val="30"/>
        </w:rPr>
        <w:t>二、建设项目工程分析</w:t>
      </w:r>
      <w:bookmarkEnd w:id="2"/>
    </w:p>
    <w:tbl>
      <w:tblPr>
        <w:tblStyle w:val="57"/>
        <w:tblW w:w="101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2"/>
        <w:gridCol w:w="95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42" w:type="dxa"/>
            <w:tcBorders>
              <w:top w:val="single" w:color="auto" w:sz="8" w:space="0"/>
              <w:left w:val="single" w:color="auto" w:sz="8" w:space="0"/>
              <w:bottom w:val="single" w:color="auto" w:sz="4" w:space="0"/>
              <w:right w:val="single" w:color="auto" w:sz="4" w:space="0"/>
            </w:tcBorders>
            <w:vAlign w:val="center"/>
          </w:tcPr>
          <w:p>
            <w:pPr>
              <w:pStyle w:val="38"/>
              <w:adjustRightInd w:val="0"/>
              <w:snapToGrid w:val="0"/>
              <w:spacing w:before="0" w:beforeAutospacing="0" w:after="0" w:afterAutospacing="0"/>
              <w:jc w:val="center"/>
              <w:rPr>
                <w:rFonts w:hint="default" w:ascii="Times New Roman" w:hAnsi="Times New Roman" w:eastAsia="宋体" w:cs="Times New Roman"/>
                <w:color w:val="FF0000"/>
                <w:szCs w:val="24"/>
              </w:rPr>
            </w:pPr>
            <w:r>
              <w:rPr>
                <w:rFonts w:hint="default" w:ascii="Times New Roman" w:hAnsi="Times New Roman" w:eastAsia="宋体" w:cs="Times New Roman"/>
                <w:color w:val="auto"/>
                <w:szCs w:val="24"/>
              </w:rPr>
              <w:t>建设内容</w:t>
            </w:r>
          </w:p>
        </w:tc>
        <w:tc>
          <w:tcPr>
            <w:tcW w:w="9554" w:type="dxa"/>
            <w:tcBorders>
              <w:top w:val="single" w:color="auto" w:sz="8" w:space="0"/>
              <w:left w:val="single" w:color="auto" w:sz="4" w:space="0"/>
              <w:bottom w:val="single" w:color="auto" w:sz="4" w:space="0"/>
              <w:right w:val="single" w:color="auto" w:sz="8" w:space="0"/>
            </w:tcBorders>
          </w:tcPr>
          <w:p>
            <w:pPr>
              <w:snapToGrid w:val="0"/>
              <w:spacing w:line="360" w:lineRule="auto"/>
              <w:jc w:val="left"/>
              <w:rPr>
                <w:rFonts w:hint="default" w:ascii="Times New Roman" w:hAnsi="Times New Roman" w:eastAsia="宋体" w:cs="Times New Roman"/>
                <w:b/>
                <w:color w:val="auto"/>
                <w:kern w:val="44"/>
                <w:sz w:val="24"/>
              </w:rPr>
            </w:pPr>
            <w:r>
              <w:rPr>
                <w:rFonts w:hint="default" w:ascii="Times New Roman" w:hAnsi="Times New Roman" w:eastAsia="宋体" w:cs="Times New Roman"/>
                <w:b/>
                <w:color w:val="auto"/>
                <w:kern w:val="44"/>
                <w:sz w:val="24"/>
                <w:szCs w:val="24"/>
              </w:rPr>
              <w:t>1、</w:t>
            </w:r>
            <w:r>
              <w:rPr>
                <w:rFonts w:hint="default" w:ascii="Times New Roman" w:hAnsi="Times New Roman" w:eastAsia="宋体" w:cs="Times New Roman"/>
                <w:b/>
                <w:color w:val="auto"/>
                <w:kern w:val="44"/>
                <w:sz w:val="24"/>
              </w:rPr>
              <w:t>工程概况</w:t>
            </w:r>
          </w:p>
          <w:p>
            <w:pPr>
              <w:snapToGrid w:val="0"/>
              <w:spacing w:line="360" w:lineRule="auto"/>
              <w:ind w:firstLine="480" w:firstLineChars="200"/>
              <w:rPr>
                <w:rFonts w:hint="default" w:ascii="Times New Roman" w:hAnsi="Times New Roman" w:eastAsia="宋体" w:cs="Times New Roman"/>
                <w:bCs/>
                <w:color w:val="auto"/>
                <w:kern w:val="44"/>
                <w:sz w:val="24"/>
                <w:lang w:val="en-US" w:eastAsia="zh-CN"/>
              </w:rPr>
            </w:pPr>
            <w:r>
              <w:rPr>
                <w:rFonts w:hint="default" w:ascii="Times New Roman" w:hAnsi="Times New Roman" w:eastAsia="宋体" w:cs="Times New Roman"/>
                <w:bCs/>
                <w:color w:val="auto"/>
                <w:kern w:val="44"/>
                <w:sz w:val="24"/>
              </w:rPr>
              <w:t>项目名称</w:t>
            </w:r>
            <w:r>
              <w:rPr>
                <w:rFonts w:hint="eastAsia" w:ascii="Times New Roman" w:hAnsi="Times New Roman" w:eastAsia="宋体" w:cs="Times New Roman"/>
                <w:bCs/>
                <w:color w:val="auto"/>
                <w:kern w:val="44"/>
                <w:sz w:val="24"/>
                <w:lang w:eastAsia="zh-CN"/>
              </w:rPr>
              <w:t>：中泽矿业公司奉新县氟石膏和天然石膏及石灰石粉磨加工项目</w:t>
            </w:r>
          </w:p>
          <w:p>
            <w:pPr>
              <w:snapToGrid w:val="0"/>
              <w:spacing w:line="360" w:lineRule="auto"/>
              <w:ind w:firstLine="480" w:firstLineChars="200"/>
              <w:rPr>
                <w:rFonts w:hint="default" w:ascii="Times New Roman" w:hAnsi="Times New Roman" w:eastAsia="宋体" w:cs="Times New Roman"/>
                <w:bCs/>
                <w:color w:val="auto"/>
                <w:kern w:val="44"/>
                <w:sz w:val="24"/>
                <w:lang w:val="en-US" w:eastAsia="zh-CN"/>
              </w:rPr>
            </w:pPr>
            <w:r>
              <w:rPr>
                <w:rFonts w:hint="default" w:ascii="Times New Roman" w:hAnsi="Times New Roman" w:eastAsia="宋体" w:cs="Times New Roman"/>
                <w:bCs/>
                <w:color w:val="auto"/>
                <w:kern w:val="44"/>
                <w:sz w:val="24"/>
              </w:rPr>
              <w:t>建设单位：</w:t>
            </w:r>
            <w:r>
              <w:rPr>
                <w:rFonts w:hint="eastAsia" w:ascii="Times New Roman" w:hAnsi="Times New Roman" w:eastAsia="宋体" w:cs="Times New Roman"/>
                <w:bCs/>
                <w:color w:val="auto"/>
                <w:kern w:val="44"/>
                <w:sz w:val="24"/>
                <w:lang w:val="en-US" w:eastAsia="zh-CN"/>
              </w:rPr>
              <w:t>江西省中泽矿业有限公司</w:t>
            </w:r>
          </w:p>
          <w:p>
            <w:pPr>
              <w:snapToGrid w:val="0"/>
              <w:spacing w:line="360" w:lineRule="auto"/>
              <w:ind w:firstLine="480" w:firstLineChars="200"/>
              <w:rPr>
                <w:rFonts w:hint="default" w:ascii="Times New Roman" w:hAnsi="Times New Roman" w:eastAsia="宋体" w:cs="Times New Roman"/>
                <w:bCs/>
                <w:color w:val="auto"/>
                <w:kern w:val="44"/>
                <w:sz w:val="24"/>
              </w:rPr>
            </w:pPr>
            <w:r>
              <w:rPr>
                <w:rFonts w:hint="default" w:ascii="Times New Roman" w:hAnsi="Times New Roman" w:eastAsia="宋体" w:cs="Times New Roman"/>
                <w:bCs/>
                <w:color w:val="auto"/>
                <w:kern w:val="44"/>
                <w:sz w:val="24"/>
              </w:rPr>
              <w:t>性质：新建</w:t>
            </w:r>
          </w:p>
          <w:p>
            <w:pPr>
              <w:pStyle w:val="75"/>
              <w:rPr>
                <w:rFonts w:hint="eastAsia" w:eastAsia="宋体"/>
                <w:color w:val="auto"/>
                <w:lang w:val="en-US" w:eastAsia="zh-CN"/>
              </w:rPr>
            </w:pPr>
            <w:r>
              <w:rPr>
                <w:rFonts w:hint="eastAsia"/>
                <w:color w:val="auto"/>
                <w:lang w:val="en-US" w:eastAsia="zh-CN"/>
              </w:rPr>
              <w:t>环境影响评价行业类别：《建设项目环境影响评价分类管理名录》（2021年版），本项目属于“二十七、非金属矿物制品业30石墨及其他非金属矿物制品制造309：其他”，本项目通过破碎、磨粉等工序对原材料进行加工，应编制建设项目环境影响评价报告表。</w:t>
            </w:r>
          </w:p>
          <w:p>
            <w:pPr>
              <w:spacing w:line="360" w:lineRule="auto"/>
              <w:ind w:firstLine="480" w:firstLineChars="200"/>
              <w:rPr>
                <w:rFonts w:hint="default" w:ascii="宋体" w:hAnsi="Calibri" w:eastAsia="宋体" w:cs="宋体"/>
                <w:color w:val="auto"/>
                <w:kern w:val="2"/>
                <w:sz w:val="24"/>
                <w:szCs w:val="24"/>
                <w:lang w:val="en-US" w:eastAsia="zh-CN" w:bidi="ar-SA"/>
              </w:rPr>
            </w:pPr>
            <w:r>
              <w:rPr>
                <w:rFonts w:hint="default" w:ascii="Times New Roman" w:hAnsi="Times New Roman" w:eastAsia="宋体" w:cs="Times New Roman"/>
                <w:bCs/>
                <w:color w:val="auto"/>
                <w:kern w:val="44"/>
                <w:sz w:val="24"/>
              </w:rPr>
              <w:t>建设地点：</w:t>
            </w:r>
            <w:r>
              <w:rPr>
                <w:rFonts w:hint="eastAsia" w:ascii="宋体" w:hAnsi="Calibri" w:eastAsia="宋体" w:cs="宋体"/>
                <w:color w:val="auto"/>
                <w:kern w:val="2"/>
                <w:sz w:val="24"/>
                <w:szCs w:val="24"/>
                <w:lang w:val="en-US" w:eastAsia="zh-CN" w:bidi="ar-SA"/>
              </w:rPr>
              <w:t>江西省宜春市奉新县高新技术产业园区广源路618号陆丰管业9号厂房</w:t>
            </w:r>
          </w:p>
          <w:p>
            <w:pPr>
              <w:snapToGrid w:val="0"/>
              <w:spacing w:line="360" w:lineRule="auto"/>
              <w:ind w:firstLine="480" w:firstLineChars="200"/>
              <w:rPr>
                <w:rFonts w:hint="default" w:ascii="Times New Roman" w:hAnsi="Times New Roman" w:eastAsia="宋体" w:cs="Times New Roman"/>
                <w:bCs/>
                <w:color w:val="auto"/>
                <w:kern w:val="44"/>
                <w:sz w:val="24"/>
                <w:lang w:val="en-US" w:eastAsia="zh-CN"/>
              </w:rPr>
            </w:pPr>
            <w:r>
              <w:rPr>
                <w:rFonts w:hint="default" w:ascii="Times New Roman" w:hAnsi="Times New Roman" w:eastAsia="宋体" w:cs="Times New Roman"/>
                <w:bCs/>
                <w:color w:val="auto"/>
                <w:kern w:val="44"/>
                <w:sz w:val="24"/>
              </w:rPr>
              <w:t>建设内容：</w:t>
            </w:r>
            <w:r>
              <w:rPr>
                <w:rFonts w:hint="default" w:ascii="Times New Roman" w:hAnsi="Times New Roman" w:eastAsia="宋体" w:cs="Times New Roman"/>
                <w:bCs/>
                <w:color w:val="auto"/>
                <w:kern w:val="44"/>
                <w:sz w:val="24"/>
                <w:lang w:val="en-US" w:eastAsia="zh-CN"/>
              </w:rPr>
              <w:t>项目租赁</w:t>
            </w:r>
            <w:r>
              <w:rPr>
                <w:rFonts w:hint="eastAsia" w:ascii="Times New Roman" w:hAnsi="Times New Roman" w:eastAsia="宋体" w:cs="Times New Roman"/>
                <w:bCs/>
                <w:color w:val="auto"/>
                <w:kern w:val="44"/>
                <w:sz w:val="24"/>
                <w:lang w:val="en-US" w:eastAsia="zh-CN"/>
              </w:rPr>
              <w:t>陆丰管业9号厂房及项目周边空地进行生产及日常生活</w:t>
            </w:r>
            <w:r>
              <w:rPr>
                <w:rFonts w:hint="default" w:ascii="Times New Roman" w:hAnsi="Times New Roman" w:eastAsia="宋体" w:cs="Times New Roman"/>
                <w:bCs/>
                <w:color w:val="auto"/>
                <w:kern w:val="44"/>
                <w:sz w:val="24"/>
                <w:lang w:val="en-US" w:eastAsia="zh-CN"/>
              </w:rPr>
              <w:t>，</w:t>
            </w:r>
            <w:r>
              <w:rPr>
                <w:rFonts w:hint="eastAsia" w:ascii="Times New Roman" w:hAnsi="Times New Roman" w:eastAsia="宋体" w:cs="Times New Roman"/>
                <w:bCs/>
                <w:color w:val="auto"/>
                <w:kern w:val="44"/>
                <w:sz w:val="24"/>
                <w:lang w:val="en-US" w:eastAsia="zh-CN"/>
              </w:rPr>
              <w:t>项目总用地面积为</w:t>
            </w:r>
            <w:r>
              <w:rPr>
                <w:rFonts w:hint="eastAsia" w:ascii="Times New Roman" w:hAnsi="Times New Roman" w:eastAsia="宋体" w:cs="Times New Roman"/>
                <w:color w:val="auto"/>
                <w:spacing w:val="-6"/>
                <w:sz w:val="24"/>
                <w:szCs w:val="24"/>
                <w:lang w:val="en-US" w:eastAsia="zh-CN"/>
              </w:rPr>
              <w:t>5460</w:t>
            </w:r>
            <w:r>
              <w:rPr>
                <w:rFonts w:hint="default" w:ascii="Times New Roman" w:hAnsi="Times New Roman" w:eastAsia="宋体" w:cs="Times New Roman"/>
                <w:color w:val="auto"/>
                <w:spacing w:val="-6"/>
                <w:sz w:val="24"/>
                <w:szCs w:val="24"/>
              </w:rPr>
              <w:t>m</w:t>
            </w:r>
            <w:r>
              <w:rPr>
                <w:rFonts w:hint="default" w:ascii="Times New Roman" w:hAnsi="Times New Roman" w:eastAsia="宋体" w:cs="Times New Roman"/>
                <w:color w:val="auto"/>
                <w:spacing w:val="-6"/>
                <w:sz w:val="24"/>
                <w:szCs w:val="24"/>
                <w:vertAlign w:val="superscript"/>
              </w:rPr>
              <w:t>2</w:t>
            </w:r>
            <w:r>
              <w:rPr>
                <w:rFonts w:hint="eastAsia" w:ascii="Times New Roman" w:hAnsi="Times New Roman" w:eastAsia="宋体" w:cs="Times New Roman"/>
                <w:color w:val="auto"/>
                <w:spacing w:val="-6"/>
                <w:sz w:val="24"/>
                <w:szCs w:val="24"/>
                <w:vertAlign w:val="baseline"/>
                <w:lang w:eastAsia="zh-CN"/>
              </w:rPr>
              <w:t>（包含生产厂房、生活区）</w:t>
            </w:r>
            <w:r>
              <w:rPr>
                <w:rFonts w:hint="eastAsia" w:ascii="Times New Roman" w:hAnsi="Times New Roman" w:eastAsia="宋体" w:cs="Times New Roman"/>
                <w:bCs/>
                <w:color w:val="auto"/>
                <w:kern w:val="44"/>
                <w:sz w:val="24"/>
                <w:lang w:val="en-US" w:eastAsia="zh-CN"/>
              </w:rPr>
              <w:t>，生产厂房内建设有原辅材料堆场、破碎区、生产区域、洗车池、沉淀池等；生活区包含宿舍、食堂、办公室等，生产厂房、生活区及厂房外空地内建筑面积合计为4869.6m</w:t>
            </w:r>
            <w:r>
              <w:rPr>
                <w:rFonts w:hint="eastAsia" w:ascii="Times New Roman" w:hAnsi="Times New Roman" w:eastAsia="宋体" w:cs="Times New Roman"/>
                <w:bCs/>
                <w:color w:val="auto"/>
                <w:kern w:val="44"/>
                <w:sz w:val="24"/>
                <w:vertAlign w:val="superscript"/>
                <w:lang w:val="en-US" w:eastAsia="zh-CN"/>
              </w:rPr>
              <w:t>2</w:t>
            </w:r>
            <w:r>
              <w:rPr>
                <w:rFonts w:hint="eastAsia" w:ascii="Times New Roman" w:hAnsi="Times New Roman" w:eastAsia="宋体" w:cs="Times New Roman"/>
                <w:bCs/>
                <w:color w:val="auto"/>
                <w:kern w:val="44"/>
                <w:sz w:val="24"/>
                <w:vertAlign w:val="baseline"/>
                <w:lang w:val="en-US" w:eastAsia="zh-CN"/>
              </w:rPr>
              <w:t>。</w:t>
            </w:r>
            <w:r>
              <w:rPr>
                <w:rFonts w:hint="eastAsia" w:ascii="Times New Roman" w:hAnsi="Times New Roman" w:eastAsia="宋体" w:cs="Times New Roman"/>
                <w:color w:val="auto"/>
                <w:kern w:val="44"/>
                <w:sz w:val="24"/>
                <w:szCs w:val="24"/>
                <w:lang w:eastAsia="zh-CN"/>
              </w:rPr>
              <w:t>项目生产工艺为氟石膏、天然石膏及石灰石粉磨工艺，</w:t>
            </w:r>
            <w:r>
              <w:rPr>
                <w:rFonts w:hint="eastAsia" w:ascii="Times New Roman" w:hAnsi="Times New Roman" w:eastAsia="宋体" w:cs="Times New Roman"/>
                <w:color w:val="FF0000"/>
                <w:kern w:val="44"/>
                <w:sz w:val="24"/>
                <w:szCs w:val="24"/>
                <w:lang w:eastAsia="zh-CN"/>
              </w:rPr>
              <w:t>其中天然石膏原料块较大需额外进行破碎工艺，破碎后的天然石膏同氟石膏及石灰石一同进行研磨工艺。</w:t>
            </w:r>
            <w:r>
              <w:rPr>
                <w:rFonts w:hint="eastAsia" w:ascii="Times New Roman" w:hAnsi="Times New Roman" w:eastAsia="宋体" w:cs="Times New Roman"/>
                <w:color w:val="auto"/>
                <w:kern w:val="44"/>
                <w:sz w:val="24"/>
                <w:szCs w:val="24"/>
                <w:lang w:eastAsia="zh-CN"/>
              </w:rPr>
              <w:t>项目生产厂房建成后能满足年处理</w:t>
            </w:r>
            <w:r>
              <w:rPr>
                <w:rFonts w:hint="eastAsia" w:ascii="Times New Roman" w:hAnsi="Times New Roman" w:eastAsia="宋体" w:cs="Times New Roman"/>
                <w:color w:val="auto"/>
                <w:kern w:val="44"/>
                <w:sz w:val="24"/>
                <w:szCs w:val="24"/>
                <w:lang w:val="en-US" w:eastAsia="zh-CN"/>
              </w:rPr>
              <w:t>51万吨氟石膏、天然石膏及石灰石的产能。</w:t>
            </w:r>
          </w:p>
          <w:p>
            <w:pPr>
              <w:adjustRightInd w:val="0"/>
              <w:snapToGrid w:val="0"/>
              <w:spacing w:line="360" w:lineRule="auto"/>
              <w:rPr>
                <w:rFonts w:hint="default" w:ascii="Times New Roman" w:hAnsi="Times New Roman" w:eastAsia="宋体" w:cs="Times New Roman"/>
                <w:b/>
                <w:color w:val="auto"/>
                <w:kern w:val="44"/>
                <w:sz w:val="24"/>
                <w:szCs w:val="24"/>
              </w:rPr>
            </w:pPr>
            <w:r>
              <w:rPr>
                <w:rFonts w:hint="default" w:ascii="Times New Roman" w:hAnsi="Times New Roman" w:eastAsia="宋体" w:cs="Times New Roman"/>
                <w:b/>
                <w:color w:val="auto"/>
                <w:kern w:val="44"/>
                <w:sz w:val="24"/>
                <w:szCs w:val="24"/>
              </w:rPr>
              <w:t>2、工程内容及规模</w:t>
            </w:r>
          </w:p>
          <w:p>
            <w:pPr>
              <w:adjustRightInd w:val="0"/>
              <w:snapToGrid w:val="0"/>
              <w:spacing w:line="360" w:lineRule="auto"/>
              <w:ind w:firstLine="480" w:firstLineChars="200"/>
              <w:jc w:val="left"/>
              <w:rPr>
                <w:rFonts w:hint="default" w:ascii="Times New Roman" w:hAnsi="Times New Roman" w:eastAsia="宋体" w:cs="Times New Roman"/>
                <w:bCs/>
                <w:color w:val="auto"/>
                <w:kern w:val="44"/>
                <w:sz w:val="24"/>
                <w:szCs w:val="24"/>
              </w:rPr>
            </w:pPr>
            <w:r>
              <w:rPr>
                <w:rFonts w:hint="default" w:ascii="Times New Roman" w:hAnsi="Times New Roman" w:eastAsia="宋体" w:cs="Times New Roman"/>
                <w:bCs/>
                <w:color w:val="auto"/>
                <w:kern w:val="44"/>
                <w:sz w:val="24"/>
                <w:szCs w:val="24"/>
              </w:rPr>
              <w:t>项目具体建设内容见下表</w:t>
            </w:r>
            <w:r>
              <w:rPr>
                <w:rFonts w:hint="default" w:ascii="Times New Roman" w:hAnsi="Times New Roman" w:eastAsia="宋体" w:cs="Times New Roman"/>
                <w:bCs/>
                <w:color w:val="auto"/>
                <w:kern w:val="44"/>
                <w:sz w:val="24"/>
                <w:szCs w:val="24"/>
                <w:lang w:eastAsia="zh-CN"/>
              </w:rPr>
              <w:t>：</w:t>
            </w:r>
          </w:p>
          <w:p>
            <w:pPr>
              <w:numPr>
                <w:ilvl w:val="0"/>
                <w:numId w:val="3"/>
              </w:numPr>
              <w:adjustRightInd w:val="0"/>
              <w:snapToGrid w:val="0"/>
              <w:spacing w:line="240" w:lineRule="auto"/>
              <w:jc w:val="center"/>
              <w:rPr>
                <w:rFonts w:hint="default" w:ascii="Times New Roman" w:hAnsi="Times New Roman" w:eastAsia="宋体" w:cs="Times New Roman"/>
                <w:b/>
                <w:color w:val="auto"/>
                <w:kern w:val="44"/>
                <w:szCs w:val="21"/>
              </w:rPr>
            </w:pPr>
            <w:r>
              <w:rPr>
                <w:rFonts w:hint="default" w:ascii="Times New Roman" w:hAnsi="Times New Roman" w:eastAsia="宋体" w:cs="Times New Roman"/>
                <w:b/>
                <w:color w:val="auto"/>
                <w:kern w:val="44"/>
                <w:szCs w:val="21"/>
              </w:rPr>
              <w:t>项目主要工程内容</w:t>
            </w:r>
          </w:p>
          <w:tbl>
            <w:tblPr>
              <w:tblStyle w:val="57"/>
              <w:tblW w:w="9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20"/>
              <w:gridCol w:w="402"/>
              <w:gridCol w:w="1285"/>
              <w:gridCol w:w="5167"/>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jc w:val="center"/>
              </w:trPr>
              <w:tc>
                <w:tcPr>
                  <w:tcW w:w="736" w:type="dxa"/>
                  <w:vMerge w:val="restart"/>
                  <w:shd w:val="clear" w:color="auto" w:fill="auto"/>
                  <w:vAlign w:val="center"/>
                </w:tcPr>
                <w:p>
                  <w:pPr>
                    <w:pStyle w:val="593"/>
                    <w:rPr>
                      <w:rFonts w:hint="default" w:ascii="Times New Roman" w:hAnsi="Times New Roman" w:eastAsia="宋体" w:cs="Times New Roman"/>
                      <w:b/>
                      <w:color w:val="auto"/>
                      <w:kern w:val="44"/>
                    </w:rPr>
                  </w:pPr>
                  <w:r>
                    <w:rPr>
                      <w:rFonts w:hint="default" w:ascii="Times New Roman" w:hAnsi="Times New Roman" w:eastAsia="宋体" w:cs="Times New Roman"/>
                      <w:b/>
                      <w:color w:val="auto"/>
                      <w:kern w:val="44"/>
                    </w:rPr>
                    <w:t>类别</w:t>
                  </w:r>
                </w:p>
              </w:tc>
              <w:tc>
                <w:tcPr>
                  <w:tcW w:w="2407" w:type="dxa"/>
                  <w:gridSpan w:val="3"/>
                  <w:vMerge w:val="restart"/>
                  <w:shd w:val="clear" w:color="auto" w:fill="auto"/>
                  <w:vAlign w:val="center"/>
                </w:tcPr>
                <w:p>
                  <w:pPr>
                    <w:pStyle w:val="593"/>
                    <w:rPr>
                      <w:rFonts w:hint="default" w:ascii="Times New Roman" w:hAnsi="Times New Roman" w:eastAsia="宋体" w:cs="Times New Roman"/>
                      <w:b/>
                      <w:color w:val="auto"/>
                      <w:kern w:val="44"/>
                    </w:rPr>
                  </w:pPr>
                  <w:r>
                    <w:rPr>
                      <w:rFonts w:hint="default" w:ascii="Times New Roman" w:hAnsi="Times New Roman" w:eastAsia="宋体" w:cs="Times New Roman"/>
                      <w:b/>
                      <w:color w:val="auto"/>
                      <w:kern w:val="44"/>
                    </w:rPr>
                    <w:t>构筑物</w:t>
                  </w:r>
                </w:p>
              </w:tc>
              <w:tc>
                <w:tcPr>
                  <w:tcW w:w="5167" w:type="dxa"/>
                  <w:vMerge w:val="restart"/>
                  <w:shd w:val="clear" w:color="auto" w:fill="auto"/>
                  <w:vAlign w:val="center"/>
                </w:tcPr>
                <w:p>
                  <w:pPr>
                    <w:pStyle w:val="593"/>
                    <w:rPr>
                      <w:rFonts w:hint="default" w:ascii="Times New Roman" w:hAnsi="Times New Roman" w:eastAsia="宋体" w:cs="Times New Roman"/>
                      <w:b/>
                      <w:color w:val="auto"/>
                      <w:kern w:val="44"/>
                    </w:rPr>
                  </w:pPr>
                  <w:r>
                    <w:rPr>
                      <w:rFonts w:hint="default" w:ascii="Times New Roman" w:hAnsi="Times New Roman" w:eastAsia="宋体" w:cs="Times New Roman"/>
                      <w:b/>
                      <w:color w:val="auto"/>
                      <w:kern w:val="44"/>
                    </w:rPr>
                    <w:t>建设内容</w:t>
                  </w:r>
                </w:p>
              </w:tc>
              <w:tc>
                <w:tcPr>
                  <w:tcW w:w="1080" w:type="dxa"/>
                  <w:vMerge w:val="restart"/>
                  <w:shd w:val="clear" w:color="auto" w:fill="auto"/>
                  <w:vAlign w:val="center"/>
                </w:tcPr>
                <w:p>
                  <w:pPr>
                    <w:pStyle w:val="593"/>
                    <w:rPr>
                      <w:rFonts w:hint="default" w:ascii="Times New Roman" w:hAnsi="Times New Roman" w:eastAsia="宋体" w:cs="Times New Roman"/>
                      <w:b/>
                      <w:color w:val="auto"/>
                      <w:kern w:val="44"/>
                    </w:rPr>
                  </w:pPr>
                  <w:r>
                    <w:rPr>
                      <w:rFonts w:hint="default" w:ascii="Times New Roman" w:hAnsi="Times New Roman" w:eastAsia="宋体" w:cs="Times New Roman"/>
                      <w:b/>
                      <w:color w:val="auto"/>
                      <w:kern w:val="4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jc w:val="center"/>
              </w:trPr>
              <w:tc>
                <w:tcPr>
                  <w:tcW w:w="736" w:type="dxa"/>
                  <w:vMerge w:val="continue"/>
                  <w:shd w:val="clear" w:color="auto" w:fill="auto"/>
                  <w:vAlign w:val="center"/>
                </w:tcPr>
                <w:p>
                  <w:pPr>
                    <w:pStyle w:val="593"/>
                    <w:rPr>
                      <w:rFonts w:hint="default" w:ascii="Times New Roman" w:hAnsi="Times New Roman" w:eastAsia="宋体" w:cs="Times New Roman"/>
                      <w:color w:val="auto"/>
                    </w:rPr>
                  </w:pPr>
                </w:p>
              </w:tc>
              <w:tc>
                <w:tcPr>
                  <w:tcW w:w="2407" w:type="dxa"/>
                  <w:gridSpan w:val="3"/>
                  <w:vMerge w:val="continue"/>
                  <w:shd w:val="clear" w:color="auto" w:fill="auto"/>
                  <w:vAlign w:val="center"/>
                </w:tcPr>
                <w:p>
                  <w:pPr>
                    <w:pStyle w:val="593"/>
                    <w:rPr>
                      <w:rFonts w:hint="default" w:ascii="Times New Roman" w:hAnsi="Times New Roman" w:eastAsia="宋体" w:cs="Times New Roman"/>
                      <w:color w:val="auto"/>
                    </w:rPr>
                  </w:pPr>
                </w:p>
              </w:tc>
              <w:tc>
                <w:tcPr>
                  <w:tcW w:w="5167" w:type="dxa"/>
                  <w:vMerge w:val="continue"/>
                  <w:shd w:val="clear" w:color="auto" w:fill="auto"/>
                  <w:vAlign w:val="center"/>
                </w:tcPr>
                <w:p>
                  <w:pPr>
                    <w:pStyle w:val="593"/>
                    <w:rPr>
                      <w:rFonts w:hint="default" w:ascii="Times New Roman" w:hAnsi="Times New Roman" w:eastAsia="宋体" w:cs="Times New Roman"/>
                      <w:color w:val="auto"/>
                    </w:rPr>
                  </w:pPr>
                </w:p>
              </w:tc>
              <w:tc>
                <w:tcPr>
                  <w:tcW w:w="1080" w:type="dxa"/>
                  <w:vMerge w:val="continue"/>
                  <w:shd w:val="clear" w:color="auto" w:fill="auto"/>
                  <w:vAlign w:val="center"/>
                </w:tcPr>
                <w:p>
                  <w:pPr>
                    <w:pStyle w:val="593"/>
                    <w:rPr>
                      <w:rFonts w:hint="default" w:ascii="Times New Roman" w:hAnsi="Times New Roman" w:eastAsia="宋体" w:cs="Times New Roman"/>
                      <w:b/>
                      <w:color w:val="auto"/>
                      <w:kern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36" w:type="dxa"/>
                  <w:vMerge w:val="restart"/>
                  <w:shd w:val="clear" w:color="auto" w:fill="auto"/>
                  <w:vAlign w:val="center"/>
                </w:tcPr>
                <w:p>
                  <w:pPr>
                    <w:pStyle w:val="593"/>
                    <w:rPr>
                      <w:rFonts w:hint="default" w:ascii="Times New Roman" w:hAnsi="Times New Roman" w:eastAsia="宋体" w:cs="Times New Roman"/>
                      <w:bCs/>
                      <w:color w:val="auto"/>
                      <w:kern w:val="44"/>
                    </w:rPr>
                  </w:pPr>
                  <w:r>
                    <w:rPr>
                      <w:rFonts w:hint="default" w:ascii="Times New Roman" w:hAnsi="Times New Roman" w:eastAsia="宋体" w:cs="Times New Roman"/>
                      <w:bCs/>
                      <w:color w:val="auto"/>
                      <w:kern w:val="44"/>
                    </w:rPr>
                    <w:t>主体工程</w:t>
                  </w:r>
                </w:p>
              </w:tc>
              <w:tc>
                <w:tcPr>
                  <w:tcW w:w="1122" w:type="dxa"/>
                  <w:gridSpan w:val="2"/>
                  <w:vMerge w:val="restart"/>
                  <w:shd w:val="clear" w:color="auto" w:fill="auto"/>
                  <w:vAlign w:val="center"/>
                </w:tcPr>
                <w:p>
                  <w:pPr>
                    <w:pStyle w:val="593"/>
                    <w:rPr>
                      <w:rFonts w:hint="default" w:ascii="Times New Roman" w:hAnsi="Times New Roman" w:eastAsia="宋体" w:cs="Times New Roman"/>
                      <w:bCs/>
                      <w:color w:val="auto"/>
                      <w:kern w:val="44"/>
                      <w:lang w:val="en-US" w:eastAsia="zh-CN"/>
                    </w:rPr>
                  </w:pPr>
                  <w:r>
                    <w:rPr>
                      <w:rFonts w:hint="eastAsia" w:cs="Times New Roman"/>
                      <w:bCs/>
                      <w:color w:val="auto"/>
                      <w:kern w:val="44"/>
                      <w:lang w:val="en-US" w:eastAsia="zh-CN"/>
                    </w:rPr>
                    <w:t>生产厂房</w:t>
                  </w:r>
                </w:p>
              </w:tc>
              <w:tc>
                <w:tcPr>
                  <w:tcW w:w="1285" w:type="dxa"/>
                  <w:shd w:val="clear" w:color="auto" w:fill="auto"/>
                  <w:vAlign w:val="center"/>
                </w:tcPr>
                <w:p>
                  <w:pPr>
                    <w:pStyle w:val="593"/>
                    <w:rPr>
                      <w:rFonts w:hint="eastAsia" w:cs="Times New Roman"/>
                      <w:bCs/>
                      <w:color w:val="auto"/>
                      <w:kern w:val="44"/>
                      <w:lang w:val="en-US" w:eastAsia="zh-CN"/>
                    </w:rPr>
                  </w:pPr>
                  <w:r>
                    <w:rPr>
                      <w:rFonts w:hint="eastAsia" w:cs="Times New Roman"/>
                      <w:bCs/>
                      <w:color w:val="auto"/>
                      <w:kern w:val="44"/>
                      <w:lang w:val="en-US" w:eastAsia="zh-CN"/>
                    </w:rPr>
                    <w:t>生产区域</w:t>
                  </w:r>
                </w:p>
              </w:tc>
              <w:tc>
                <w:tcPr>
                  <w:tcW w:w="5167" w:type="dxa"/>
                  <w:shd w:val="clear" w:color="auto" w:fill="auto"/>
                  <w:vAlign w:val="center"/>
                </w:tcPr>
                <w:p>
                  <w:pPr>
                    <w:pStyle w:val="593"/>
                    <w:jc w:val="both"/>
                    <w:rPr>
                      <w:rFonts w:hint="default" w:cs="Times New Roman"/>
                      <w:bCs/>
                      <w:color w:val="auto"/>
                      <w:kern w:val="44"/>
                      <w:vertAlign w:val="baseline"/>
                      <w:lang w:val="en-US" w:eastAsia="zh-CN"/>
                    </w:rPr>
                  </w:pPr>
                  <w:r>
                    <w:rPr>
                      <w:rFonts w:hint="eastAsia" w:cs="Times New Roman"/>
                      <w:bCs/>
                      <w:color w:val="auto"/>
                      <w:kern w:val="44"/>
                      <w:vertAlign w:val="baseline"/>
                      <w:lang w:val="en-US" w:eastAsia="zh-CN"/>
                    </w:rPr>
                    <w:t>生产厂房H=8.5m，一层，钢结构。生产区域位于生产厂房西侧，放置项目主要生产设备，如研磨机，成品罐，打包机等，生产区占地面积约为1322m</w:t>
                  </w:r>
                  <w:r>
                    <w:rPr>
                      <w:rFonts w:hint="eastAsia" w:cs="Times New Roman"/>
                      <w:bCs/>
                      <w:color w:val="auto"/>
                      <w:kern w:val="44"/>
                      <w:vertAlign w:val="superscript"/>
                      <w:lang w:val="en-US" w:eastAsia="zh-CN"/>
                    </w:rPr>
                    <w:t>2</w:t>
                  </w:r>
                  <w:r>
                    <w:rPr>
                      <w:rFonts w:hint="eastAsia" w:cs="Times New Roman"/>
                      <w:bCs/>
                      <w:color w:val="auto"/>
                      <w:kern w:val="44"/>
                      <w:vertAlign w:val="baseline"/>
                      <w:lang w:val="en-US" w:eastAsia="zh-CN"/>
                    </w:rPr>
                    <w:t>。</w:t>
                  </w:r>
                </w:p>
              </w:tc>
              <w:tc>
                <w:tcPr>
                  <w:tcW w:w="1080" w:type="dxa"/>
                  <w:vMerge w:val="restart"/>
                  <w:shd w:val="clear" w:color="auto" w:fill="auto"/>
                  <w:vAlign w:val="center"/>
                </w:tcPr>
                <w:p>
                  <w:pPr>
                    <w:pStyle w:val="593"/>
                    <w:rPr>
                      <w:rFonts w:hint="default" w:ascii="Times New Roman" w:hAnsi="Times New Roman" w:eastAsia="宋体" w:cs="Times New Roman"/>
                      <w:bCs/>
                      <w:color w:val="FF0000"/>
                      <w:kern w:val="44"/>
                      <w:lang w:eastAsia="zh-CN"/>
                    </w:rPr>
                  </w:pPr>
                  <w:r>
                    <w:rPr>
                      <w:rFonts w:hint="eastAsia" w:cs="Times New Roman"/>
                      <w:bCs/>
                      <w:color w:val="FF0000"/>
                      <w:kern w:val="44"/>
                      <w:lang w:eastAsia="zh-CN"/>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36" w:type="dxa"/>
                  <w:vMerge w:val="continue"/>
                  <w:shd w:val="clear" w:color="auto" w:fill="auto"/>
                  <w:vAlign w:val="center"/>
                </w:tcPr>
                <w:p>
                  <w:pPr>
                    <w:pStyle w:val="593"/>
                    <w:rPr>
                      <w:color w:val="auto"/>
                    </w:rPr>
                  </w:pPr>
                </w:p>
              </w:tc>
              <w:tc>
                <w:tcPr>
                  <w:tcW w:w="1122" w:type="dxa"/>
                  <w:gridSpan w:val="2"/>
                  <w:vMerge w:val="continue"/>
                  <w:shd w:val="clear" w:color="auto" w:fill="auto"/>
                  <w:vAlign w:val="center"/>
                </w:tcPr>
                <w:p>
                  <w:pPr>
                    <w:pStyle w:val="593"/>
                    <w:rPr>
                      <w:color w:val="auto"/>
                    </w:rPr>
                  </w:pPr>
                </w:p>
              </w:tc>
              <w:tc>
                <w:tcPr>
                  <w:tcW w:w="1285" w:type="dxa"/>
                  <w:shd w:val="clear" w:color="auto" w:fill="auto"/>
                  <w:vAlign w:val="center"/>
                </w:tcPr>
                <w:p>
                  <w:pPr>
                    <w:pStyle w:val="593"/>
                    <w:rPr>
                      <w:rFonts w:hint="eastAsia" w:cs="Times New Roman"/>
                      <w:bCs/>
                      <w:color w:val="auto"/>
                      <w:kern w:val="44"/>
                      <w:lang w:val="en-US" w:eastAsia="zh-CN"/>
                    </w:rPr>
                  </w:pPr>
                  <w:r>
                    <w:rPr>
                      <w:rFonts w:hint="eastAsia" w:cs="Times New Roman"/>
                      <w:bCs/>
                      <w:color w:val="auto"/>
                      <w:kern w:val="44"/>
                      <w:lang w:val="en-US" w:eastAsia="zh-CN"/>
                    </w:rPr>
                    <w:t>破碎区</w:t>
                  </w:r>
                </w:p>
              </w:tc>
              <w:tc>
                <w:tcPr>
                  <w:tcW w:w="5167" w:type="dxa"/>
                  <w:shd w:val="clear" w:color="auto" w:fill="auto"/>
                  <w:vAlign w:val="center"/>
                </w:tcPr>
                <w:p>
                  <w:pPr>
                    <w:pStyle w:val="593"/>
                    <w:jc w:val="both"/>
                    <w:rPr>
                      <w:rFonts w:hint="default" w:cs="Times New Roman"/>
                      <w:bCs/>
                      <w:color w:val="auto"/>
                      <w:kern w:val="44"/>
                      <w:lang w:val="en-US" w:eastAsia="zh-CN"/>
                    </w:rPr>
                  </w:pPr>
                  <w:r>
                    <w:rPr>
                      <w:rFonts w:hint="eastAsia" w:cs="Times New Roman"/>
                      <w:bCs/>
                      <w:color w:val="auto"/>
                      <w:kern w:val="44"/>
                      <w:vertAlign w:val="baseline"/>
                      <w:lang w:val="en-US" w:eastAsia="zh-CN"/>
                    </w:rPr>
                    <w:t>生产厂房H=8.5m，一层，钢结构。破碎区位于生产厂房南侧，主要用于天然石膏破碎。占地面积为200m</w:t>
                  </w:r>
                  <w:r>
                    <w:rPr>
                      <w:rFonts w:hint="eastAsia" w:cs="Times New Roman"/>
                      <w:bCs/>
                      <w:color w:val="auto"/>
                      <w:kern w:val="44"/>
                      <w:vertAlign w:val="superscript"/>
                      <w:lang w:val="en-US" w:eastAsia="zh-CN"/>
                    </w:rPr>
                    <w:t>2</w:t>
                  </w:r>
                  <w:r>
                    <w:rPr>
                      <w:rFonts w:hint="eastAsia" w:cs="Times New Roman"/>
                      <w:bCs/>
                      <w:color w:val="auto"/>
                      <w:kern w:val="44"/>
                      <w:vertAlign w:val="baseline"/>
                      <w:lang w:val="en-US" w:eastAsia="zh-CN"/>
                    </w:rPr>
                    <w:t>。</w:t>
                  </w:r>
                </w:p>
              </w:tc>
              <w:tc>
                <w:tcPr>
                  <w:tcW w:w="1080" w:type="dxa"/>
                  <w:vMerge w:val="continue"/>
                  <w:shd w:val="clear" w:color="auto" w:fill="auto"/>
                  <w:vAlign w:val="center"/>
                </w:tcPr>
                <w:p>
                  <w:pPr>
                    <w:pStyle w:val="593"/>
                    <w:rPr>
                      <w:rFonts w:hint="eastAsia" w:cs="Times New Roman"/>
                      <w:bCs/>
                      <w:color w:val="FF0000"/>
                      <w:kern w:val="4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restart"/>
                  <w:shd w:val="clear" w:color="auto" w:fill="auto"/>
                  <w:vAlign w:val="center"/>
                </w:tcPr>
                <w:p>
                  <w:pPr>
                    <w:pStyle w:val="593"/>
                    <w:rPr>
                      <w:rFonts w:hint="default" w:ascii="Times New Roman" w:hAnsi="Times New Roman" w:eastAsia="宋体" w:cs="Times New Roman"/>
                      <w:bCs/>
                      <w:color w:val="FF0000"/>
                      <w:kern w:val="44"/>
                    </w:rPr>
                  </w:pPr>
                  <w:r>
                    <w:rPr>
                      <w:rFonts w:hint="default" w:ascii="Times New Roman" w:hAnsi="Times New Roman" w:eastAsia="宋体" w:cs="Times New Roman"/>
                      <w:bCs/>
                      <w:color w:val="auto"/>
                      <w:kern w:val="44"/>
                    </w:rPr>
                    <w:t>辅助工程</w:t>
                  </w:r>
                </w:p>
              </w:tc>
              <w:tc>
                <w:tcPr>
                  <w:tcW w:w="1122" w:type="dxa"/>
                  <w:gridSpan w:val="2"/>
                  <w:vMerge w:val="restart"/>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生活区</w:t>
                  </w:r>
                </w:p>
              </w:tc>
              <w:tc>
                <w:tcPr>
                  <w:tcW w:w="1285" w:type="dxa"/>
                  <w:shd w:val="clear" w:color="auto" w:fill="auto"/>
                  <w:vAlign w:val="center"/>
                </w:tcPr>
                <w:p>
                  <w:pPr>
                    <w:pStyle w:val="593"/>
                    <w:rPr>
                      <w:rFonts w:hint="default" w:ascii="Times New Roman" w:hAnsi="Times New Roman" w:eastAsia="宋体" w:cs="Times New Roman"/>
                      <w:bCs/>
                      <w:color w:val="auto"/>
                      <w:kern w:val="44"/>
                      <w:lang w:eastAsia="zh-CN"/>
                    </w:rPr>
                  </w:pPr>
                  <w:r>
                    <w:rPr>
                      <w:rFonts w:hint="default" w:ascii="Times New Roman" w:hAnsi="Times New Roman" w:eastAsia="宋体" w:cs="Times New Roman"/>
                      <w:bCs/>
                      <w:color w:val="auto"/>
                      <w:kern w:val="44"/>
                      <w:lang w:eastAsia="zh-CN"/>
                    </w:rPr>
                    <w:t>办公区</w:t>
                  </w:r>
                </w:p>
              </w:tc>
              <w:tc>
                <w:tcPr>
                  <w:tcW w:w="5167" w:type="dxa"/>
                  <w:shd w:val="clear" w:color="auto" w:fill="auto"/>
                  <w:vAlign w:val="center"/>
                </w:tcPr>
                <w:p>
                  <w:pPr>
                    <w:pStyle w:val="593"/>
                    <w:jc w:val="both"/>
                    <w:rPr>
                      <w:rFonts w:hint="default" w:ascii="Times New Roman" w:hAnsi="Times New Roman" w:eastAsia="宋体" w:cs="Times New Roman"/>
                      <w:bCs/>
                      <w:color w:val="auto"/>
                      <w:kern w:val="44"/>
                      <w:lang w:val="en-US" w:eastAsia="zh-CN"/>
                    </w:rPr>
                  </w:pPr>
                  <w:r>
                    <w:rPr>
                      <w:rFonts w:hint="eastAsia" w:cs="Times New Roman"/>
                      <w:bCs/>
                      <w:color w:val="auto"/>
                      <w:kern w:val="44"/>
                      <w:lang w:val="en-US" w:eastAsia="zh-CN"/>
                    </w:rPr>
                    <w:t>H=3.8m，</w:t>
                  </w:r>
                  <w:r>
                    <w:rPr>
                      <w:rFonts w:hint="default" w:ascii="Times New Roman" w:hAnsi="Times New Roman" w:eastAsia="宋体" w:cs="Times New Roman"/>
                      <w:bCs/>
                      <w:color w:val="auto"/>
                      <w:kern w:val="44"/>
                      <w:lang w:val="en-US" w:eastAsia="zh-CN"/>
                    </w:rPr>
                    <w:t>用作办公使用</w:t>
                  </w:r>
                  <w:r>
                    <w:rPr>
                      <w:rFonts w:hint="eastAsia" w:cs="Times New Roman"/>
                      <w:bCs/>
                      <w:color w:val="auto"/>
                      <w:kern w:val="44"/>
                      <w:lang w:val="en-US" w:eastAsia="zh-CN"/>
                    </w:rPr>
                    <w:t>，占地面积46m</w:t>
                  </w:r>
                  <w:r>
                    <w:rPr>
                      <w:rFonts w:hint="eastAsia" w:cs="Times New Roman"/>
                      <w:bCs/>
                      <w:color w:val="auto"/>
                      <w:kern w:val="44"/>
                      <w:vertAlign w:val="superscript"/>
                      <w:lang w:val="en-US" w:eastAsia="zh-CN"/>
                    </w:rPr>
                    <w:t>2</w:t>
                  </w:r>
                  <w:r>
                    <w:rPr>
                      <w:rFonts w:hint="default" w:ascii="Times New Roman" w:hAnsi="Times New Roman" w:eastAsia="宋体" w:cs="Times New Roman"/>
                      <w:bCs/>
                      <w:color w:val="auto"/>
                      <w:kern w:val="44"/>
                      <w:lang w:val="en-US" w:eastAsia="zh-CN"/>
                    </w:rPr>
                    <w:t>。</w:t>
                  </w:r>
                </w:p>
              </w:tc>
              <w:tc>
                <w:tcPr>
                  <w:tcW w:w="1080" w:type="dxa"/>
                  <w:shd w:val="clear" w:color="auto" w:fill="auto"/>
                  <w:vAlign w:val="center"/>
                </w:tcPr>
                <w:p>
                  <w:pPr>
                    <w:jc w:val="center"/>
                    <w:rPr>
                      <w:rFonts w:hint="default" w:ascii="Times New Roman" w:hAnsi="Times New Roman" w:eastAsia="宋体" w:cs="Times New Roman"/>
                      <w:bCs/>
                      <w:color w:val="FF0000"/>
                      <w:kern w:val="44"/>
                      <w:szCs w:val="21"/>
                      <w:lang w:val="en-US" w:eastAsia="zh-CN"/>
                    </w:rPr>
                  </w:pPr>
                  <w:r>
                    <w:rPr>
                      <w:rFonts w:hint="eastAsia" w:ascii="Times New Roman" w:hAnsi="Times New Roman" w:eastAsia="宋体" w:cs="Times New Roman"/>
                      <w:bCs/>
                      <w:color w:val="FF0000"/>
                      <w:kern w:val="44"/>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1122" w:type="dxa"/>
                  <w:gridSpan w:val="2"/>
                  <w:vMerge w:val="continue"/>
                  <w:shd w:val="clear" w:color="auto" w:fill="auto"/>
                  <w:vAlign w:val="center"/>
                </w:tcPr>
                <w:p>
                  <w:pPr>
                    <w:pStyle w:val="593"/>
                    <w:rPr>
                      <w:rFonts w:hint="default" w:ascii="Times New Roman" w:hAnsi="Times New Roman" w:eastAsia="宋体" w:cs="Times New Roman"/>
                      <w:bCs/>
                      <w:color w:val="auto"/>
                      <w:kern w:val="44"/>
                      <w:lang w:eastAsia="zh-CN"/>
                    </w:rPr>
                  </w:pPr>
                </w:p>
              </w:tc>
              <w:tc>
                <w:tcPr>
                  <w:tcW w:w="1285" w:type="dxa"/>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食堂</w:t>
                  </w:r>
                </w:p>
              </w:tc>
              <w:tc>
                <w:tcPr>
                  <w:tcW w:w="5167" w:type="dxa"/>
                  <w:shd w:val="clear" w:color="auto" w:fill="auto"/>
                  <w:vAlign w:val="center"/>
                </w:tcPr>
                <w:p>
                  <w:pPr>
                    <w:pStyle w:val="593"/>
                    <w:jc w:val="both"/>
                    <w:rPr>
                      <w:rFonts w:hint="default" w:ascii="Times New Roman" w:hAnsi="Times New Roman" w:eastAsia="宋体" w:cs="Times New Roman"/>
                      <w:bCs/>
                      <w:color w:val="auto"/>
                      <w:kern w:val="44"/>
                      <w:lang w:val="en-US" w:eastAsia="zh-CN"/>
                    </w:rPr>
                  </w:pPr>
                  <w:r>
                    <w:rPr>
                      <w:rFonts w:hint="eastAsia" w:cs="Times New Roman"/>
                      <w:bCs/>
                      <w:color w:val="auto"/>
                      <w:kern w:val="44"/>
                      <w:lang w:val="en-US" w:eastAsia="zh-CN"/>
                    </w:rPr>
                    <w:t>H=3.8m，用于员工及商务用餐，占地面积26.8m</w:t>
                  </w:r>
                  <w:r>
                    <w:rPr>
                      <w:rFonts w:hint="eastAsia" w:cs="Times New Roman"/>
                      <w:bCs/>
                      <w:color w:val="auto"/>
                      <w:kern w:val="44"/>
                      <w:vertAlign w:val="superscript"/>
                      <w:lang w:val="en-US" w:eastAsia="zh-CN"/>
                    </w:rPr>
                    <w:t>2</w:t>
                  </w:r>
                  <w:r>
                    <w:rPr>
                      <w:rFonts w:hint="eastAsia" w:cs="Times New Roman"/>
                      <w:bCs/>
                      <w:color w:val="auto"/>
                      <w:kern w:val="44"/>
                      <w:lang w:val="en-US" w:eastAsia="zh-CN"/>
                    </w:rPr>
                    <w:t>。</w:t>
                  </w:r>
                </w:p>
              </w:tc>
              <w:tc>
                <w:tcPr>
                  <w:tcW w:w="1080" w:type="dxa"/>
                  <w:shd w:val="clear" w:color="auto" w:fill="auto"/>
                  <w:vAlign w:val="center"/>
                </w:tcPr>
                <w:p>
                  <w:pPr>
                    <w:jc w:val="center"/>
                    <w:rPr>
                      <w:rFonts w:hint="eastAsia" w:ascii="Times New Roman" w:hAnsi="Times New Roman" w:eastAsia="宋体" w:cs="Times New Roman"/>
                      <w:bCs/>
                      <w:color w:val="FF0000"/>
                      <w:kern w:val="44"/>
                      <w:szCs w:val="21"/>
                      <w:lang w:val="en-US" w:eastAsia="zh-CN"/>
                    </w:rPr>
                  </w:pPr>
                  <w:r>
                    <w:rPr>
                      <w:rFonts w:hint="eastAsia" w:ascii="Times New Roman" w:hAnsi="Times New Roman" w:eastAsia="宋体" w:cs="Times New Roman"/>
                      <w:bCs/>
                      <w:color w:val="FF0000"/>
                      <w:kern w:val="44"/>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1122" w:type="dxa"/>
                  <w:gridSpan w:val="2"/>
                  <w:vMerge w:val="continue"/>
                  <w:shd w:val="clear" w:color="auto" w:fill="auto"/>
                  <w:vAlign w:val="center"/>
                </w:tcPr>
                <w:p>
                  <w:pPr>
                    <w:pStyle w:val="593"/>
                    <w:rPr>
                      <w:rFonts w:hint="eastAsia" w:cs="Times New Roman"/>
                      <w:bCs/>
                      <w:color w:val="auto"/>
                      <w:kern w:val="44"/>
                      <w:lang w:eastAsia="zh-CN"/>
                    </w:rPr>
                  </w:pPr>
                </w:p>
              </w:tc>
              <w:tc>
                <w:tcPr>
                  <w:tcW w:w="1285" w:type="dxa"/>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宿舍</w:t>
                  </w:r>
                </w:p>
              </w:tc>
              <w:tc>
                <w:tcPr>
                  <w:tcW w:w="5167" w:type="dxa"/>
                  <w:shd w:val="clear" w:color="auto" w:fill="auto"/>
                  <w:vAlign w:val="center"/>
                </w:tcPr>
                <w:p>
                  <w:pPr>
                    <w:pStyle w:val="593"/>
                    <w:jc w:val="both"/>
                    <w:rPr>
                      <w:rFonts w:hint="eastAsia" w:cs="Times New Roman"/>
                      <w:bCs/>
                      <w:color w:val="auto"/>
                      <w:kern w:val="44"/>
                      <w:lang w:val="en-US" w:eastAsia="zh-CN"/>
                    </w:rPr>
                  </w:pPr>
                  <w:r>
                    <w:rPr>
                      <w:rFonts w:hint="eastAsia" w:cs="Times New Roman"/>
                      <w:bCs/>
                      <w:color w:val="auto"/>
                      <w:kern w:val="44"/>
                      <w:lang w:val="en-US" w:eastAsia="zh-CN"/>
                    </w:rPr>
                    <w:t>H=3.8m，用于员工休息，占地面积46.6m</w:t>
                  </w:r>
                  <w:r>
                    <w:rPr>
                      <w:rFonts w:hint="eastAsia" w:cs="Times New Roman"/>
                      <w:bCs/>
                      <w:color w:val="auto"/>
                      <w:kern w:val="44"/>
                      <w:vertAlign w:val="superscript"/>
                      <w:lang w:val="en-US" w:eastAsia="zh-CN"/>
                    </w:rPr>
                    <w:t>2</w:t>
                  </w:r>
                  <w:r>
                    <w:rPr>
                      <w:rFonts w:hint="eastAsia" w:cs="Times New Roman"/>
                      <w:bCs/>
                      <w:color w:val="auto"/>
                      <w:kern w:val="44"/>
                      <w:lang w:val="en-US" w:eastAsia="zh-CN"/>
                    </w:rPr>
                    <w:t>。</w:t>
                  </w:r>
                </w:p>
              </w:tc>
              <w:tc>
                <w:tcPr>
                  <w:tcW w:w="1080" w:type="dxa"/>
                  <w:shd w:val="clear" w:color="auto" w:fill="auto"/>
                  <w:vAlign w:val="center"/>
                </w:tcPr>
                <w:p>
                  <w:pPr>
                    <w:jc w:val="center"/>
                    <w:rPr>
                      <w:rFonts w:hint="eastAsia" w:ascii="Times New Roman" w:hAnsi="Times New Roman" w:eastAsia="宋体" w:cs="Times New Roman"/>
                      <w:bCs/>
                      <w:color w:val="FF0000"/>
                      <w:kern w:val="44"/>
                      <w:szCs w:val="21"/>
                      <w:lang w:val="en-US" w:eastAsia="zh-CN"/>
                    </w:rPr>
                  </w:pPr>
                  <w:r>
                    <w:rPr>
                      <w:rFonts w:hint="eastAsia" w:ascii="Times New Roman" w:hAnsi="Times New Roman" w:eastAsia="宋体" w:cs="Times New Roman"/>
                      <w:bCs/>
                      <w:color w:val="FF0000"/>
                      <w:kern w:val="44"/>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1122" w:type="dxa"/>
                  <w:gridSpan w:val="2"/>
                  <w:vMerge w:val="continue"/>
                  <w:shd w:val="clear" w:color="auto" w:fill="auto"/>
                  <w:vAlign w:val="center"/>
                </w:tcPr>
                <w:p>
                  <w:pPr>
                    <w:pStyle w:val="593"/>
                    <w:rPr>
                      <w:rFonts w:hint="eastAsia" w:cs="Times New Roman"/>
                      <w:bCs/>
                      <w:color w:val="auto"/>
                      <w:kern w:val="44"/>
                      <w:lang w:eastAsia="zh-CN"/>
                    </w:rPr>
                  </w:pPr>
                </w:p>
              </w:tc>
              <w:tc>
                <w:tcPr>
                  <w:tcW w:w="1285" w:type="dxa"/>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卫生间</w:t>
                  </w:r>
                </w:p>
              </w:tc>
              <w:tc>
                <w:tcPr>
                  <w:tcW w:w="5167" w:type="dxa"/>
                  <w:shd w:val="clear" w:color="auto" w:fill="auto"/>
                  <w:vAlign w:val="center"/>
                </w:tcPr>
                <w:p>
                  <w:pPr>
                    <w:pStyle w:val="593"/>
                    <w:jc w:val="both"/>
                    <w:rPr>
                      <w:rFonts w:hint="default" w:cs="Times New Roman"/>
                      <w:bCs/>
                      <w:color w:val="auto"/>
                      <w:kern w:val="44"/>
                      <w:lang w:val="en-US" w:eastAsia="zh-CN"/>
                    </w:rPr>
                  </w:pPr>
                  <w:r>
                    <w:rPr>
                      <w:rFonts w:hint="eastAsia" w:cs="Times New Roman"/>
                      <w:bCs/>
                      <w:color w:val="auto"/>
                      <w:kern w:val="44"/>
                      <w:lang w:val="en-US" w:eastAsia="zh-CN"/>
                    </w:rPr>
                    <w:t>用于员工生活，占地面积12.2m</w:t>
                  </w:r>
                  <w:r>
                    <w:rPr>
                      <w:rFonts w:hint="eastAsia" w:cs="Times New Roman"/>
                      <w:bCs/>
                      <w:color w:val="auto"/>
                      <w:kern w:val="44"/>
                      <w:vertAlign w:val="superscript"/>
                      <w:lang w:val="en-US" w:eastAsia="zh-CN"/>
                    </w:rPr>
                    <w:t>2</w:t>
                  </w:r>
                  <w:r>
                    <w:rPr>
                      <w:rFonts w:hint="eastAsia" w:cs="Times New Roman"/>
                      <w:bCs/>
                      <w:color w:val="auto"/>
                      <w:kern w:val="44"/>
                      <w:lang w:val="en-US" w:eastAsia="zh-CN"/>
                    </w:rPr>
                    <w:t>。</w:t>
                  </w:r>
                </w:p>
              </w:tc>
              <w:tc>
                <w:tcPr>
                  <w:tcW w:w="1080" w:type="dxa"/>
                  <w:shd w:val="clear" w:color="auto" w:fill="auto"/>
                  <w:vAlign w:val="center"/>
                </w:tcPr>
                <w:p>
                  <w:pPr>
                    <w:jc w:val="center"/>
                    <w:rPr>
                      <w:rFonts w:hint="eastAsia" w:ascii="Times New Roman" w:hAnsi="Times New Roman" w:eastAsia="宋体" w:cs="Times New Roman"/>
                      <w:bCs/>
                      <w:color w:val="FF0000"/>
                      <w:kern w:val="44"/>
                      <w:szCs w:val="21"/>
                      <w:lang w:val="en-US" w:eastAsia="zh-CN"/>
                    </w:rPr>
                  </w:pPr>
                  <w:r>
                    <w:rPr>
                      <w:rFonts w:hint="eastAsia" w:ascii="Times New Roman" w:hAnsi="Times New Roman" w:eastAsia="宋体" w:cs="Times New Roman"/>
                      <w:bCs/>
                      <w:color w:val="FF0000"/>
                      <w:kern w:val="44"/>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2407" w:type="dxa"/>
                  <w:gridSpan w:val="3"/>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地磅</w:t>
                  </w:r>
                </w:p>
              </w:tc>
              <w:tc>
                <w:tcPr>
                  <w:tcW w:w="5167" w:type="dxa"/>
                  <w:shd w:val="clear" w:color="auto" w:fill="auto"/>
                  <w:vAlign w:val="center"/>
                </w:tcPr>
                <w:p>
                  <w:pPr>
                    <w:pStyle w:val="593"/>
                    <w:jc w:val="both"/>
                    <w:rPr>
                      <w:rFonts w:hint="eastAsia" w:cs="Times New Roman"/>
                      <w:bCs/>
                      <w:color w:val="auto"/>
                      <w:kern w:val="44"/>
                      <w:lang w:val="en-US" w:eastAsia="zh-CN"/>
                    </w:rPr>
                  </w:pPr>
                  <w:r>
                    <w:rPr>
                      <w:rFonts w:hint="eastAsia" w:cs="Times New Roman"/>
                      <w:bCs/>
                      <w:color w:val="auto"/>
                      <w:kern w:val="44"/>
                      <w:lang w:val="en-US" w:eastAsia="zh-CN"/>
                    </w:rPr>
                    <w:t>用于成品运输车辆称重，面积30m</w:t>
                  </w:r>
                  <w:r>
                    <w:rPr>
                      <w:rFonts w:hint="eastAsia" w:cs="Times New Roman"/>
                      <w:bCs/>
                      <w:color w:val="auto"/>
                      <w:kern w:val="44"/>
                      <w:vertAlign w:val="superscript"/>
                      <w:lang w:val="en-US" w:eastAsia="zh-CN"/>
                    </w:rPr>
                    <w:t>2</w:t>
                  </w:r>
                  <w:r>
                    <w:rPr>
                      <w:rFonts w:hint="eastAsia" w:cs="Times New Roman"/>
                      <w:bCs/>
                      <w:color w:val="auto"/>
                      <w:kern w:val="44"/>
                      <w:lang w:val="en-US" w:eastAsia="zh-CN"/>
                    </w:rPr>
                    <w:t>。位于生产区域成品罐下方地面。</w:t>
                  </w:r>
                </w:p>
              </w:tc>
              <w:tc>
                <w:tcPr>
                  <w:tcW w:w="1080" w:type="dxa"/>
                  <w:shd w:val="clear" w:color="auto" w:fill="auto"/>
                  <w:vAlign w:val="center"/>
                </w:tcPr>
                <w:p>
                  <w:pPr>
                    <w:jc w:val="center"/>
                    <w:rPr>
                      <w:rFonts w:hint="eastAsia" w:ascii="Times New Roman" w:hAnsi="Times New Roman" w:eastAsia="宋体" w:cs="Times New Roman"/>
                      <w:bCs/>
                      <w:color w:val="auto"/>
                      <w:kern w:val="44"/>
                      <w:szCs w:val="21"/>
                      <w:lang w:val="en-US" w:eastAsia="zh-CN"/>
                    </w:rPr>
                  </w:pPr>
                  <w:r>
                    <w:rPr>
                      <w:rFonts w:hint="eastAsia" w:ascii="Times New Roman" w:hAnsi="Times New Roman" w:eastAsia="宋体" w:cs="Times New Roman"/>
                      <w:bCs/>
                      <w:color w:val="auto"/>
                      <w:kern w:val="44"/>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2407" w:type="dxa"/>
                  <w:gridSpan w:val="3"/>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洗车池</w:t>
                  </w:r>
                </w:p>
              </w:tc>
              <w:tc>
                <w:tcPr>
                  <w:tcW w:w="5167" w:type="dxa"/>
                  <w:shd w:val="clear" w:color="auto" w:fill="auto"/>
                  <w:vAlign w:val="center"/>
                </w:tcPr>
                <w:p>
                  <w:pPr>
                    <w:pStyle w:val="593"/>
                    <w:jc w:val="both"/>
                    <w:rPr>
                      <w:rFonts w:hint="default" w:cs="Times New Roman"/>
                      <w:bCs/>
                      <w:color w:val="auto"/>
                      <w:kern w:val="44"/>
                      <w:lang w:val="en-US" w:eastAsia="zh-CN"/>
                    </w:rPr>
                  </w:pPr>
                  <w:r>
                    <w:rPr>
                      <w:rFonts w:hint="eastAsia" w:cs="Times New Roman"/>
                      <w:bCs/>
                      <w:color w:val="auto"/>
                      <w:kern w:val="44"/>
                      <w:lang w:val="en-US" w:eastAsia="zh-CN"/>
                    </w:rPr>
                    <w:t>原料运输车辆出厂区时冲洗轮胎，为双面斜坡设计，占地面积100m</w:t>
                  </w:r>
                  <w:r>
                    <w:rPr>
                      <w:rFonts w:hint="eastAsia" w:cs="Times New Roman"/>
                      <w:bCs/>
                      <w:color w:val="auto"/>
                      <w:kern w:val="44"/>
                      <w:vertAlign w:val="superscript"/>
                      <w:lang w:val="en-US" w:eastAsia="zh-CN"/>
                    </w:rPr>
                    <w:t>2</w:t>
                  </w:r>
                  <w:r>
                    <w:rPr>
                      <w:rFonts w:hint="eastAsia" w:cs="Times New Roman"/>
                      <w:bCs/>
                      <w:color w:val="auto"/>
                      <w:kern w:val="44"/>
                      <w:lang w:val="en-US" w:eastAsia="zh-CN"/>
                    </w:rPr>
                    <w:t>。池内储存洗车水，池容约为80-100m</w:t>
                  </w:r>
                  <w:r>
                    <w:rPr>
                      <w:rFonts w:hint="eastAsia" w:cs="Times New Roman"/>
                      <w:bCs/>
                      <w:color w:val="auto"/>
                      <w:kern w:val="44"/>
                      <w:vertAlign w:val="superscript"/>
                      <w:lang w:val="en-US" w:eastAsia="zh-CN"/>
                    </w:rPr>
                    <w:t>3</w:t>
                  </w:r>
                  <w:r>
                    <w:rPr>
                      <w:rFonts w:hint="eastAsia" w:cs="Times New Roman"/>
                      <w:bCs/>
                      <w:color w:val="auto"/>
                      <w:kern w:val="44"/>
                      <w:lang w:val="en-US" w:eastAsia="zh-CN"/>
                    </w:rPr>
                    <w:t>。</w:t>
                  </w:r>
                </w:p>
              </w:tc>
              <w:tc>
                <w:tcPr>
                  <w:tcW w:w="1080" w:type="dxa"/>
                  <w:shd w:val="clear" w:color="auto" w:fill="auto"/>
                  <w:vAlign w:val="center"/>
                </w:tcPr>
                <w:p>
                  <w:pPr>
                    <w:jc w:val="center"/>
                    <w:rPr>
                      <w:rFonts w:hint="eastAsia" w:ascii="Times New Roman" w:hAnsi="Times New Roman" w:eastAsia="宋体" w:cs="Times New Roman"/>
                      <w:bCs/>
                      <w:color w:val="auto"/>
                      <w:kern w:val="44"/>
                      <w:szCs w:val="21"/>
                      <w:lang w:val="en-US" w:eastAsia="zh-CN"/>
                    </w:rPr>
                  </w:pPr>
                  <w:r>
                    <w:rPr>
                      <w:rFonts w:hint="eastAsia" w:ascii="Times New Roman" w:hAnsi="Times New Roman" w:eastAsia="宋体" w:cs="Times New Roman"/>
                      <w:bCs/>
                      <w:color w:val="auto"/>
                      <w:kern w:val="44"/>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2407" w:type="dxa"/>
                  <w:gridSpan w:val="3"/>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沉淀池</w:t>
                  </w:r>
                </w:p>
              </w:tc>
              <w:tc>
                <w:tcPr>
                  <w:tcW w:w="5167" w:type="dxa"/>
                  <w:shd w:val="clear" w:color="auto" w:fill="auto"/>
                  <w:vAlign w:val="center"/>
                </w:tcPr>
                <w:p>
                  <w:pPr>
                    <w:pStyle w:val="593"/>
                    <w:jc w:val="both"/>
                    <w:rPr>
                      <w:rFonts w:hint="default" w:cs="Times New Roman"/>
                      <w:bCs/>
                      <w:color w:val="auto"/>
                      <w:kern w:val="44"/>
                      <w:lang w:val="en-US" w:eastAsia="zh-CN"/>
                    </w:rPr>
                  </w:pPr>
                  <w:r>
                    <w:rPr>
                      <w:rFonts w:hint="eastAsia" w:cs="Times New Roman"/>
                      <w:bCs/>
                      <w:color w:val="auto"/>
                      <w:kern w:val="44"/>
                      <w:lang w:val="en-US" w:eastAsia="zh-CN"/>
                    </w:rPr>
                    <w:t>位于洗车池旁，用于沉淀洗车废水，池容约45m</w:t>
                  </w:r>
                  <w:r>
                    <w:rPr>
                      <w:rFonts w:hint="eastAsia" w:cs="Times New Roman"/>
                      <w:bCs/>
                      <w:color w:val="auto"/>
                      <w:kern w:val="44"/>
                      <w:vertAlign w:val="superscript"/>
                      <w:lang w:val="en-US" w:eastAsia="zh-CN"/>
                    </w:rPr>
                    <w:t>3</w:t>
                  </w:r>
                </w:p>
              </w:tc>
              <w:tc>
                <w:tcPr>
                  <w:tcW w:w="1080" w:type="dxa"/>
                  <w:shd w:val="clear" w:color="auto" w:fill="auto"/>
                  <w:vAlign w:val="center"/>
                </w:tcPr>
                <w:p>
                  <w:pPr>
                    <w:jc w:val="center"/>
                    <w:rPr>
                      <w:rFonts w:hint="eastAsia" w:ascii="Times New Roman" w:hAnsi="Times New Roman" w:eastAsia="宋体" w:cs="Times New Roman"/>
                      <w:bCs/>
                      <w:color w:val="auto"/>
                      <w:kern w:val="44"/>
                      <w:szCs w:val="21"/>
                      <w:lang w:val="en-US" w:eastAsia="zh-CN"/>
                    </w:rPr>
                  </w:pPr>
                  <w:r>
                    <w:rPr>
                      <w:rFonts w:hint="eastAsia" w:ascii="Times New Roman" w:hAnsi="Times New Roman" w:eastAsia="宋体" w:cs="Times New Roman"/>
                      <w:bCs/>
                      <w:color w:val="auto"/>
                      <w:kern w:val="44"/>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2407" w:type="dxa"/>
                  <w:gridSpan w:val="3"/>
                  <w:shd w:val="clear" w:color="auto" w:fill="auto"/>
                  <w:vAlign w:val="center"/>
                </w:tcPr>
                <w:p>
                  <w:pPr>
                    <w:pStyle w:val="593"/>
                    <w:rPr>
                      <w:rFonts w:hint="eastAsia" w:cs="Times New Roman"/>
                      <w:bCs/>
                      <w:color w:val="FF0000"/>
                      <w:kern w:val="44"/>
                      <w:lang w:eastAsia="zh-CN"/>
                    </w:rPr>
                  </w:pPr>
                  <w:r>
                    <w:rPr>
                      <w:rFonts w:hint="eastAsia" w:cs="Times New Roman"/>
                      <w:bCs/>
                      <w:color w:val="FF0000"/>
                      <w:kern w:val="44"/>
                      <w:lang w:eastAsia="zh-CN"/>
                    </w:rPr>
                    <w:t>雨水收集池</w:t>
                  </w:r>
                </w:p>
              </w:tc>
              <w:tc>
                <w:tcPr>
                  <w:tcW w:w="5167" w:type="dxa"/>
                  <w:shd w:val="clear" w:color="auto" w:fill="auto"/>
                  <w:vAlign w:val="center"/>
                </w:tcPr>
                <w:p>
                  <w:pPr>
                    <w:pStyle w:val="593"/>
                    <w:jc w:val="both"/>
                    <w:rPr>
                      <w:rFonts w:hint="default" w:cs="Times New Roman"/>
                      <w:bCs/>
                      <w:color w:val="FF0000"/>
                      <w:kern w:val="44"/>
                      <w:lang w:val="en-US" w:eastAsia="zh-CN"/>
                    </w:rPr>
                  </w:pPr>
                  <w:r>
                    <w:rPr>
                      <w:rFonts w:hint="eastAsia" w:cs="Times New Roman"/>
                      <w:bCs/>
                      <w:color w:val="FF0000"/>
                      <w:kern w:val="44"/>
                      <w:lang w:val="en-US" w:eastAsia="zh-CN"/>
                    </w:rPr>
                    <w:t>位于生产厂房西侧，池容为2m</w:t>
                  </w:r>
                  <w:r>
                    <w:rPr>
                      <w:rFonts w:hint="eastAsia" w:cs="Times New Roman"/>
                      <w:bCs/>
                      <w:color w:val="FF0000"/>
                      <w:kern w:val="44"/>
                      <w:vertAlign w:val="superscript"/>
                      <w:lang w:val="en-US" w:eastAsia="zh-CN"/>
                    </w:rPr>
                    <w:t>3</w:t>
                  </w:r>
                  <w:r>
                    <w:rPr>
                      <w:rFonts w:hint="eastAsia" w:cs="Times New Roman"/>
                      <w:bCs/>
                      <w:color w:val="FF0000"/>
                      <w:kern w:val="44"/>
                      <w:vertAlign w:val="baseline"/>
                      <w:lang w:val="en-US" w:eastAsia="zh-CN"/>
                    </w:rPr>
                    <w:t>（</w:t>
                  </w:r>
                  <w:r>
                    <w:rPr>
                      <w:rFonts w:hint="eastAsia" w:cs="Times New Roman"/>
                      <w:bCs/>
                      <w:color w:val="FF0000"/>
                      <w:kern w:val="44"/>
                      <w:lang w:val="en-US" w:eastAsia="zh-CN"/>
                    </w:rPr>
                    <w:t>1m*1m*2m），初期雨水汇入池内后通过水泵抽入厂房洗车池内储存，经沉淀后回用于车辆冲洗及洒水抑尘。</w:t>
                  </w:r>
                </w:p>
              </w:tc>
              <w:tc>
                <w:tcPr>
                  <w:tcW w:w="1080" w:type="dxa"/>
                  <w:shd w:val="clear" w:color="auto" w:fill="auto"/>
                  <w:vAlign w:val="center"/>
                </w:tcPr>
                <w:p>
                  <w:pPr>
                    <w:jc w:val="center"/>
                    <w:rPr>
                      <w:rFonts w:hint="eastAsia" w:ascii="Times New Roman" w:hAnsi="Times New Roman" w:eastAsia="宋体" w:cs="Times New Roman"/>
                      <w:bCs/>
                      <w:color w:val="FF0000"/>
                      <w:kern w:val="44"/>
                      <w:szCs w:val="21"/>
                      <w:lang w:val="en-US" w:eastAsia="zh-CN"/>
                    </w:rPr>
                  </w:pPr>
                  <w:r>
                    <w:rPr>
                      <w:rFonts w:hint="eastAsia" w:ascii="Times New Roman" w:hAnsi="Times New Roman" w:eastAsia="宋体" w:cs="Times New Roman"/>
                      <w:bCs/>
                      <w:color w:val="FF0000"/>
                      <w:kern w:val="44"/>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2407" w:type="dxa"/>
                  <w:gridSpan w:val="3"/>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提升机</w:t>
                  </w:r>
                </w:p>
              </w:tc>
              <w:tc>
                <w:tcPr>
                  <w:tcW w:w="5167" w:type="dxa"/>
                  <w:shd w:val="clear" w:color="auto" w:fill="auto"/>
                  <w:vAlign w:val="center"/>
                </w:tcPr>
                <w:p>
                  <w:pPr>
                    <w:pStyle w:val="593"/>
                    <w:jc w:val="both"/>
                    <w:rPr>
                      <w:rFonts w:hint="default" w:cs="Times New Roman"/>
                      <w:bCs/>
                      <w:color w:val="auto"/>
                      <w:kern w:val="44"/>
                      <w:vertAlign w:val="baseline"/>
                      <w:lang w:val="en-US" w:eastAsia="zh-CN"/>
                    </w:rPr>
                  </w:pPr>
                  <w:r>
                    <w:rPr>
                      <w:rFonts w:hint="eastAsia" w:cs="Times New Roman"/>
                      <w:bCs/>
                      <w:color w:val="auto"/>
                      <w:kern w:val="44"/>
                      <w:lang w:val="en-US" w:eastAsia="zh-CN"/>
                    </w:rPr>
                    <w:t>位于生产厂房西侧生产区域内，占地面积约8m</w:t>
                  </w:r>
                  <w:r>
                    <w:rPr>
                      <w:rFonts w:hint="eastAsia" w:cs="Times New Roman"/>
                      <w:bCs/>
                      <w:color w:val="auto"/>
                      <w:kern w:val="44"/>
                      <w:vertAlign w:val="superscript"/>
                      <w:lang w:val="en-US" w:eastAsia="zh-CN"/>
                    </w:rPr>
                    <w:t>2</w:t>
                  </w:r>
                  <w:r>
                    <w:rPr>
                      <w:rFonts w:hint="eastAsia" w:cs="Times New Roman"/>
                      <w:bCs/>
                      <w:color w:val="auto"/>
                      <w:kern w:val="44"/>
                      <w:vertAlign w:val="baseline"/>
                      <w:lang w:val="en-US" w:eastAsia="zh-CN"/>
                    </w:rPr>
                    <w:t>。用于将研磨后产品提升至成品罐内储存。</w:t>
                  </w:r>
                </w:p>
              </w:tc>
              <w:tc>
                <w:tcPr>
                  <w:tcW w:w="1080" w:type="dxa"/>
                  <w:shd w:val="clear" w:color="auto" w:fill="auto"/>
                  <w:vAlign w:val="center"/>
                </w:tcPr>
                <w:p>
                  <w:pPr>
                    <w:jc w:val="center"/>
                    <w:rPr>
                      <w:rFonts w:hint="eastAsia" w:ascii="Times New Roman" w:hAnsi="Times New Roman" w:eastAsia="宋体" w:cs="Times New Roman"/>
                      <w:bCs/>
                      <w:color w:val="auto"/>
                      <w:kern w:val="44"/>
                      <w:szCs w:val="21"/>
                      <w:lang w:val="en-US" w:eastAsia="zh-CN"/>
                    </w:rPr>
                  </w:pPr>
                  <w:r>
                    <w:rPr>
                      <w:rFonts w:hint="eastAsia" w:ascii="Times New Roman" w:hAnsi="Times New Roman" w:eastAsia="宋体" w:cs="Times New Roman"/>
                      <w:bCs/>
                      <w:color w:val="auto"/>
                      <w:kern w:val="44"/>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restart"/>
                  <w:shd w:val="clear" w:color="auto" w:fill="auto"/>
                  <w:vAlign w:val="center"/>
                </w:tcPr>
                <w:p>
                  <w:pPr>
                    <w:pStyle w:val="593"/>
                    <w:rPr>
                      <w:rFonts w:hint="default" w:ascii="Times New Roman" w:hAnsi="Times New Roman" w:eastAsia="宋体" w:cs="Times New Roman"/>
                      <w:bCs/>
                      <w:color w:val="FF0000"/>
                      <w:kern w:val="44"/>
                    </w:rPr>
                  </w:pPr>
                  <w:r>
                    <w:rPr>
                      <w:rFonts w:hint="default" w:ascii="Times New Roman" w:hAnsi="Times New Roman" w:eastAsia="宋体" w:cs="Times New Roman"/>
                      <w:bCs/>
                      <w:color w:val="auto"/>
                      <w:kern w:val="44"/>
                    </w:rPr>
                    <w:t>储运工程</w:t>
                  </w:r>
                </w:p>
              </w:tc>
              <w:tc>
                <w:tcPr>
                  <w:tcW w:w="2407" w:type="dxa"/>
                  <w:gridSpan w:val="3"/>
                  <w:shd w:val="clear" w:color="auto" w:fill="auto"/>
                  <w:vAlign w:val="center"/>
                </w:tcPr>
                <w:p>
                  <w:pPr>
                    <w:pStyle w:val="593"/>
                    <w:rPr>
                      <w:rFonts w:hint="eastAsia" w:ascii="Times New Roman" w:hAnsi="Times New Roman" w:eastAsia="宋体" w:cs="Times New Roman"/>
                      <w:bCs/>
                      <w:color w:val="auto"/>
                      <w:kern w:val="44"/>
                      <w:lang w:eastAsia="zh-CN"/>
                    </w:rPr>
                  </w:pPr>
                  <w:r>
                    <w:rPr>
                      <w:rFonts w:hint="eastAsia" w:cs="Times New Roman"/>
                      <w:bCs/>
                      <w:color w:val="auto"/>
                      <w:kern w:val="44"/>
                      <w:lang w:eastAsia="zh-CN"/>
                    </w:rPr>
                    <w:t>原辅料堆场</w:t>
                  </w:r>
                </w:p>
              </w:tc>
              <w:tc>
                <w:tcPr>
                  <w:tcW w:w="5167" w:type="dxa"/>
                  <w:shd w:val="clear" w:color="auto" w:fill="auto"/>
                  <w:vAlign w:val="center"/>
                </w:tcPr>
                <w:p>
                  <w:pPr>
                    <w:pStyle w:val="593"/>
                    <w:jc w:val="both"/>
                    <w:rPr>
                      <w:rFonts w:hint="default" w:ascii="Times New Roman" w:hAnsi="Times New Roman" w:eastAsia="宋体" w:cs="Times New Roman"/>
                      <w:bCs/>
                      <w:color w:val="auto"/>
                      <w:kern w:val="44"/>
                      <w:lang w:val="en-US" w:eastAsia="zh-CN"/>
                    </w:rPr>
                  </w:pPr>
                  <w:r>
                    <w:rPr>
                      <w:rFonts w:hint="eastAsia" w:cs="Times New Roman"/>
                      <w:bCs/>
                      <w:color w:val="auto"/>
                      <w:kern w:val="44"/>
                      <w:vertAlign w:val="baseline"/>
                      <w:lang w:val="en-US" w:eastAsia="zh-CN"/>
                    </w:rPr>
                    <w:t>H=8.5m，一层，钢结构。位于生产厂房东侧，</w:t>
                  </w:r>
                  <w:r>
                    <w:rPr>
                      <w:rFonts w:hint="eastAsia" w:cs="Times New Roman"/>
                      <w:bCs/>
                      <w:color w:val="auto"/>
                      <w:kern w:val="44"/>
                      <w:lang w:val="en-US" w:eastAsia="zh-CN"/>
                    </w:rPr>
                    <w:t>地面硬化。用于堆放生产所需原辅料。面积约为3000m</w:t>
                  </w:r>
                  <w:r>
                    <w:rPr>
                      <w:rFonts w:hint="eastAsia" w:cs="Times New Roman"/>
                      <w:bCs/>
                      <w:color w:val="auto"/>
                      <w:kern w:val="44"/>
                      <w:vertAlign w:val="superscript"/>
                      <w:lang w:val="en-US" w:eastAsia="zh-CN"/>
                    </w:rPr>
                    <w:t>2</w:t>
                  </w:r>
                  <w:r>
                    <w:rPr>
                      <w:rFonts w:hint="eastAsia" w:cs="Times New Roman"/>
                      <w:bCs/>
                      <w:color w:val="auto"/>
                      <w:kern w:val="44"/>
                      <w:lang w:val="en-US" w:eastAsia="zh-CN"/>
                    </w:rPr>
                    <w:t>。</w:t>
                  </w:r>
                </w:p>
              </w:tc>
              <w:tc>
                <w:tcPr>
                  <w:tcW w:w="1080" w:type="dxa"/>
                  <w:shd w:val="clear" w:color="auto" w:fill="auto"/>
                  <w:vAlign w:val="center"/>
                </w:tcPr>
                <w:p>
                  <w:pPr>
                    <w:jc w:val="center"/>
                    <w:rPr>
                      <w:rFonts w:hint="eastAsia" w:ascii="Times New Roman" w:hAnsi="Times New Roman" w:eastAsia="宋体" w:cs="Times New Roman"/>
                      <w:bCs/>
                      <w:color w:val="auto"/>
                      <w:kern w:val="44"/>
                      <w:szCs w:val="21"/>
                      <w:lang w:eastAsia="zh-CN"/>
                    </w:rPr>
                  </w:pPr>
                  <w:r>
                    <w:rPr>
                      <w:rFonts w:hint="eastAsia" w:ascii="Times New Roman" w:hAnsi="Times New Roman" w:eastAsia="宋体" w:cs="Times New Roman"/>
                      <w:bCs/>
                      <w:color w:val="auto"/>
                      <w:kern w:val="44"/>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2407" w:type="dxa"/>
                  <w:gridSpan w:val="3"/>
                  <w:shd w:val="clear" w:color="auto" w:fill="auto"/>
                  <w:vAlign w:val="center"/>
                </w:tcPr>
                <w:p>
                  <w:pPr>
                    <w:pStyle w:val="593"/>
                    <w:rPr>
                      <w:rFonts w:hint="eastAsia" w:ascii="Times New Roman" w:hAnsi="Times New Roman" w:eastAsia="宋体" w:cs="Times New Roman"/>
                      <w:bCs/>
                      <w:color w:val="auto"/>
                      <w:kern w:val="44"/>
                      <w:lang w:eastAsia="zh-CN"/>
                    </w:rPr>
                  </w:pPr>
                  <w:r>
                    <w:rPr>
                      <w:rFonts w:hint="default" w:ascii="Times New Roman" w:hAnsi="Times New Roman" w:eastAsia="宋体" w:cs="Times New Roman"/>
                      <w:bCs/>
                      <w:color w:val="auto"/>
                      <w:kern w:val="44"/>
                    </w:rPr>
                    <w:t>成品</w:t>
                  </w:r>
                  <w:r>
                    <w:rPr>
                      <w:rFonts w:hint="eastAsia" w:cs="Times New Roman"/>
                      <w:bCs/>
                      <w:color w:val="auto"/>
                      <w:kern w:val="44"/>
                      <w:lang w:eastAsia="zh-CN"/>
                    </w:rPr>
                    <w:t>罐</w:t>
                  </w:r>
                </w:p>
              </w:tc>
              <w:tc>
                <w:tcPr>
                  <w:tcW w:w="5167" w:type="dxa"/>
                  <w:shd w:val="clear" w:color="auto" w:fill="auto"/>
                  <w:vAlign w:val="center"/>
                </w:tcPr>
                <w:p>
                  <w:pPr>
                    <w:pStyle w:val="593"/>
                    <w:jc w:val="both"/>
                    <w:rPr>
                      <w:rFonts w:hint="default" w:ascii="Times New Roman" w:hAnsi="Times New Roman" w:eastAsia="宋体" w:cs="Times New Roman"/>
                      <w:bCs/>
                      <w:color w:val="auto"/>
                      <w:kern w:val="44"/>
                      <w:lang w:val="en-US" w:eastAsia="zh-CN"/>
                    </w:rPr>
                  </w:pPr>
                  <w:r>
                    <w:rPr>
                      <w:rFonts w:hint="eastAsia" w:cs="Times New Roman"/>
                      <w:bCs/>
                      <w:color w:val="auto"/>
                      <w:kern w:val="44"/>
                      <w:lang w:val="en-US" w:eastAsia="zh-CN"/>
                    </w:rPr>
                    <w:t>位于生产厂房西侧生产区域内，为悬挂式罐体。用于成品堆放。</w:t>
                  </w:r>
                </w:p>
              </w:tc>
              <w:tc>
                <w:tcPr>
                  <w:tcW w:w="1080" w:type="dxa"/>
                  <w:shd w:val="clear" w:color="auto" w:fill="auto"/>
                  <w:vAlign w:val="center"/>
                </w:tcPr>
                <w:p>
                  <w:pPr>
                    <w:jc w:val="center"/>
                    <w:rPr>
                      <w:rFonts w:hint="eastAsia" w:ascii="Times New Roman" w:hAnsi="Times New Roman" w:eastAsia="宋体" w:cs="Times New Roman"/>
                      <w:bCs/>
                      <w:color w:val="auto"/>
                      <w:kern w:val="44"/>
                      <w:szCs w:val="21"/>
                      <w:lang w:eastAsia="zh-CN"/>
                    </w:rPr>
                  </w:pPr>
                  <w:r>
                    <w:rPr>
                      <w:rFonts w:hint="eastAsia" w:ascii="Times New Roman" w:hAnsi="Times New Roman" w:eastAsia="宋体" w:cs="Times New Roman"/>
                      <w:bCs/>
                      <w:color w:val="auto"/>
                      <w:kern w:val="44"/>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restart"/>
                  <w:shd w:val="clear" w:color="auto" w:fill="auto"/>
                  <w:vAlign w:val="center"/>
                </w:tcPr>
                <w:p>
                  <w:pPr>
                    <w:pStyle w:val="593"/>
                    <w:rPr>
                      <w:rFonts w:hint="default" w:ascii="Times New Roman" w:hAnsi="Times New Roman" w:eastAsia="宋体" w:cs="Times New Roman"/>
                      <w:bCs/>
                      <w:color w:val="auto"/>
                      <w:kern w:val="44"/>
                    </w:rPr>
                  </w:pPr>
                  <w:r>
                    <w:rPr>
                      <w:rFonts w:hint="default" w:ascii="Times New Roman" w:hAnsi="Times New Roman" w:eastAsia="宋体" w:cs="Times New Roman"/>
                      <w:bCs/>
                      <w:color w:val="auto"/>
                      <w:kern w:val="44"/>
                    </w:rPr>
                    <w:t>公用工程</w:t>
                  </w:r>
                </w:p>
              </w:tc>
              <w:tc>
                <w:tcPr>
                  <w:tcW w:w="2407" w:type="dxa"/>
                  <w:gridSpan w:val="3"/>
                  <w:shd w:val="clear" w:color="auto" w:fill="auto"/>
                  <w:vAlign w:val="center"/>
                </w:tcPr>
                <w:p>
                  <w:pPr>
                    <w:pStyle w:val="593"/>
                    <w:rPr>
                      <w:rFonts w:hint="default" w:ascii="Times New Roman" w:hAnsi="Times New Roman" w:eastAsia="宋体" w:cs="Times New Roman"/>
                      <w:bCs/>
                      <w:color w:val="auto"/>
                      <w:kern w:val="44"/>
                    </w:rPr>
                  </w:pPr>
                  <w:r>
                    <w:rPr>
                      <w:rFonts w:hint="default" w:ascii="Times New Roman" w:hAnsi="Times New Roman" w:eastAsia="宋体" w:cs="Times New Roman"/>
                      <w:bCs/>
                      <w:color w:val="auto"/>
                      <w:kern w:val="44"/>
                    </w:rPr>
                    <w:t>给水</w:t>
                  </w:r>
                </w:p>
              </w:tc>
              <w:tc>
                <w:tcPr>
                  <w:tcW w:w="5167" w:type="dxa"/>
                  <w:shd w:val="clear" w:color="auto" w:fill="auto"/>
                  <w:vAlign w:val="center"/>
                </w:tcPr>
                <w:p>
                  <w:pPr>
                    <w:pStyle w:val="593"/>
                    <w:jc w:val="both"/>
                    <w:rPr>
                      <w:rFonts w:hint="default" w:ascii="Times New Roman" w:hAnsi="Times New Roman" w:eastAsia="宋体" w:cs="Times New Roman"/>
                      <w:bCs/>
                      <w:color w:val="auto"/>
                      <w:kern w:val="44"/>
                    </w:rPr>
                  </w:pPr>
                  <w:r>
                    <w:rPr>
                      <w:rFonts w:hint="default" w:ascii="Times New Roman" w:hAnsi="Times New Roman" w:eastAsia="宋体" w:cs="Times New Roman"/>
                      <w:bCs/>
                      <w:color w:val="auto"/>
                      <w:kern w:val="44"/>
                    </w:rPr>
                    <w:t>由市政供水管网供给。</w:t>
                  </w:r>
                </w:p>
              </w:tc>
              <w:tc>
                <w:tcPr>
                  <w:tcW w:w="1080" w:type="dxa"/>
                  <w:shd w:val="clear" w:color="auto" w:fill="auto"/>
                  <w:vAlign w:val="center"/>
                </w:tcPr>
                <w:p>
                  <w:pPr>
                    <w:pStyle w:val="593"/>
                    <w:rPr>
                      <w:rFonts w:hint="default" w:ascii="Times New Roman" w:hAnsi="Times New Roman" w:eastAsia="宋体" w:cs="Times New Roman"/>
                      <w:bCs/>
                      <w:color w:val="auto"/>
                      <w:kern w:val="44"/>
                    </w:rPr>
                  </w:pPr>
                  <w:r>
                    <w:rPr>
                      <w:rFonts w:hint="eastAsia" w:cs="Times New Roman"/>
                      <w:bCs/>
                      <w:color w:val="auto"/>
                      <w:kern w:val="44"/>
                      <w:lang w:eastAsia="zh-CN"/>
                    </w:rPr>
                    <w:t>依托</w:t>
                  </w:r>
                  <w:r>
                    <w:rPr>
                      <w:rFonts w:hint="default" w:ascii="Times New Roman" w:hAnsi="Times New Roman" w:eastAsia="宋体" w:cs="Times New Roman"/>
                      <w:bCs/>
                      <w:color w:val="auto"/>
                      <w:kern w:val="44"/>
                      <w:lang w:eastAsia="zh-CN"/>
                    </w:rPr>
                    <w:t>市政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auto"/>
                      <w:kern w:val="44"/>
                    </w:rPr>
                  </w:pPr>
                </w:p>
              </w:tc>
              <w:tc>
                <w:tcPr>
                  <w:tcW w:w="2407" w:type="dxa"/>
                  <w:gridSpan w:val="3"/>
                  <w:shd w:val="clear" w:color="auto" w:fill="auto"/>
                  <w:vAlign w:val="center"/>
                </w:tcPr>
                <w:p>
                  <w:pPr>
                    <w:pStyle w:val="593"/>
                    <w:rPr>
                      <w:rFonts w:hint="default" w:ascii="Times New Roman" w:hAnsi="Times New Roman" w:eastAsia="宋体" w:cs="Times New Roman"/>
                      <w:bCs/>
                      <w:color w:val="auto"/>
                      <w:kern w:val="44"/>
                    </w:rPr>
                  </w:pPr>
                  <w:r>
                    <w:rPr>
                      <w:rFonts w:hint="default" w:ascii="Times New Roman" w:hAnsi="Times New Roman" w:eastAsia="宋体" w:cs="Times New Roman"/>
                      <w:bCs/>
                      <w:color w:val="auto"/>
                      <w:kern w:val="44"/>
                    </w:rPr>
                    <w:t>供电</w:t>
                  </w:r>
                </w:p>
              </w:tc>
              <w:tc>
                <w:tcPr>
                  <w:tcW w:w="5167" w:type="dxa"/>
                  <w:shd w:val="clear" w:color="auto" w:fill="auto"/>
                  <w:vAlign w:val="center"/>
                </w:tcPr>
                <w:p>
                  <w:pPr>
                    <w:pStyle w:val="593"/>
                    <w:jc w:val="both"/>
                    <w:rPr>
                      <w:rFonts w:hint="default" w:ascii="Times New Roman" w:hAnsi="Times New Roman" w:eastAsia="宋体" w:cs="Times New Roman"/>
                      <w:bCs/>
                      <w:color w:val="auto"/>
                      <w:kern w:val="44"/>
                      <w:lang w:eastAsia="zh-CN"/>
                    </w:rPr>
                  </w:pPr>
                  <w:r>
                    <w:rPr>
                      <w:rFonts w:hint="default" w:ascii="Times New Roman" w:hAnsi="Times New Roman" w:eastAsia="宋体" w:cs="Times New Roman"/>
                      <w:bCs/>
                      <w:color w:val="auto"/>
                      <w:kern w:val="44"/>
                    </w:rPr>
                    <w:t>由市政电网供给</w:t>
                  </w:r>
                  <w:r>
                    <w:rPr>
                      <w:rFonts w:hint="default" w:ascii="Times New Roman" w:hAnsi="Times New Roman" w:eastAsia="宋体" w:cs="Times New Roman"/>
                      <w:bCs/>
                      <w:color w:val="auto"/>
                      <w:kern w:val="44"/>
                      <w:lang w:eastAsia="zh-CN"/>
                    </w:rPr>
                    <w:t>。</w:t>
                  </w:r>
                </w:p>
              </w:tc>
              <w:tc>
                <w:tcPr>
                  <w:tcW w:w="1080" w:type="dxa"/>
                  <w:shd w:val="clear" w:color="auto" w:fill="auto"/>
                  <w:vAlign w:val="center"/>
                </w:tcPr>
                <w:p>
                  <w:pPr>
                    <w:pStyle w:val="593"/>
                    <w:rPr>
                      <w:rFonts w:hint="default" w:ascii="Times New Roman" w:hAnsi="Times New Roman" w:eastAsia="宋体" w:cs="Times New Roman"/>
                      <w:bCs/>
                      <w:color w:val="auto"/>
                      <w:kern w:val="44"/>
                      <w:lang w:eastAsia="zh-CN"/>
                    </w:rPr>
                  </w:pPr>
                  <w:r>
                    <w:rPr>
                      <w:rFonts w:hint="eastAsia" w:cs="Times New Roman"/>
                      <w:bCs/>
                      <w:color w:val="auto"/>
                      <w:kern w:val="44"/>
                      <w:lang w:eastAsia="zh-CN"/>
                    </w:rPr>
                    <w:t>依托</w:t>
                  </w:r>
                  <w:r>
                    <w:rPr>
                      <w:rFonts w:hint="default" w:ascii="Times New Roman" w:hAnsi="Times New Roman" w:eastAsia="宋体" w:cs="Times New Roman"/>
                      <w:bCs/>
                      <w:color w:val="auto"/>
                      <w:kern w:val="44"/>
                      <w:lang w:eastAsia="zh-CN"/>
                    </w:rPr>
                    <w:t>市政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auto"/>
                      <w:kern w:val="44"/>
                    </w:rPr>
                  </w:pPr>
                </w:p>
              </w:tc>
              <w:tc>
                <w:tcPr>
                  <w:tcW w:w="2407" w:type="dxa"/>
                  <w:gridSpan w:val="3"/>
                  <w:shd w:val="clear" w:color="auto" w:fill="auto"/>
                  <w:vAlign w:val="center"/>
                </w:tcPr>
                <w:p>
                  <w:pPr>
                    <w:pStyle w:val="593"/>
                    <w:rPr>
                      <w:rFonts w:hint="eastAsia" w:ascii="Times New Roman" w:hAnsi="Times New Roman" w:eastAsia="宋体" w:cs="Times New Roman"/>
                      <w:bCs/>
                      <w:color w:val="auto"/>
                      <w:kern w:val="44"/>
                      <w:lang w:eastAsia="zh-CN"/>
                    </w:rPr>
                  </w:pPr>
                  <w:r>
                    <w:rPr>
                      <w:rFonts w:hint="eastAsia" w:cs="Times New Roman"/>
                      <w:bCs/>
                      <w:color w:val="auto"/>
                      <w:kern w:val="44"/>
                      <w:lang w:eastAsia="zh-CN"/>
                    </w:rPr>
                    <w:t>变压器、配电房</w:t>
                  </w:r>
                </w:p>
              </w:tc>
              <w:tc>
                <w:tcPr>
                  <w:tcW w:w="5167" w:type="dxa"/>
                  <w:shd w:val="clear" w:color="auto" w:fill="auto"/>
                  <w:vAlign w:val="center"/>
                </w:tcPr>
                <w:p>
                  <w:pPr>
                    <w:pStyle w:val="593"/>
                    <w:jc w:val="both"/>
                    <w:rPr>
                      <w:rFonts w:hint="default" w:ascii="Times New Roman" w:hAnsi="Times New Roman" w:eastAsia="宋体" w:cs="Times New Roman"/>
                      <w:bCs/>
                      <w:color w:val="auto"/>
                      <w:kern w:val="44"/>
                      <w:lang w:val="en-US" w:eastAsia="zh-CN"/>
                    </w:rPr>
                  </w:pPr>
                  <w:r>
                    <w:rPr>
                      <w:rFonts w:hint="eastAsia" w:cs="Times New Roman"/>
                      <w:bCs/>
                      <w:color w:val="auto"/>
                      <w:kern w:val="44"/>
                      <w:lang w:eastAsia="zh-CN"/>
                    </w:rPr>
                    <w:t>将高压电转至低压电输送给生产设备，变压器位于生产厂房西侧厂棚下，占地面积</w:t>
                  </w:r>
                  <w:r>
                    <w:rPr>
                      <w:rFonts w:hint="eastAsia" w:cs="Times New Roman"/>
                      <w:bCs/>
                      <w:color w:val="auto"/>
                      <w:kern w:val="44"/>
                      <w:lang w:val="en-US" w:eastAsia="zh-CN"/>
                    </w:rPr>
                    <w:t>2m</w:t>
                  </w:r>
                  <w:r>
                    <w:rPr>
                      <w:rFonts w:hint="eastAsia" w:cs="Times New Roman"/>
                      <w:bCs/>
                      <w:color w:val="auto"/>
                      <w:kern w:val="44"/>
                      <w:vertAlign w:val="superscript"/>
                      <w:lang w:val="en-US" w:eastAsia="zh-CN"/>
                    </w:rPr>
                    <w:t>2</w:t>
                  </w:r>
                  <w:r>
                    <w:rPr>
                      <w:rFonts w:hint="eastAsia" w:cs="Times New Roman"/>
                      <w:bCs/>
                      <w:color w:val="auto"/>
                      <w:kern w:val="44"/>
                      <w:lang w:val="en-US" w:eastAsia="zh-CN"/>
                    </w:rPr>
                    <w:t>，配电房位于生产厂房西侧，占地面积60m</w:t>
                  </w:r>
                  <w:r>
                    <w:rPr>
                      <w:rFonts w:hint="eastAsia" w:cs="Times New Roman"/>
                      <w:bCs/>
                      <w:color w:val="auto"/>
                      <w:kern w:val="44"/>
                      <w:vertAlign w:val="superscript"/>
                      <w:lang w:val="en-US" w:eastAsia="zh-CN"/>
                    </w:rPr>
                    <w:t>2</w:t>
                  </w:r>
                  <w:r>
                    <w:rPr>
                      <w:rFonts w:hint="eastAsia" w:cs="Times New Roman"/>
                      <w:bCs/>
                      <w:color w:val="auto"/>
                      <w:kern w:val="44"/>
                      <w:lang w:val="en-US" w:eastAsia="zh-CN"/>
                    </w:rPr>
                    <w:t>。</w:t>
                  </w:r>
                </w:p>
              </w:tc>
              <w:tc>
                <w:tcPr>
                  <w:tcW w:w="1080" w:type="dxa"/>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restart"/>
                  <w:shd w:val="clear" w:color="auto" w:fill="auto"/>
                  <w:vAlign w:val="center"/>
                </w:tcPr>
                <w:p>
                  <w:pPr>
                    <w:pStyle w:val="593"/>
                    <w:rPr>
                      <w:rFonts w:hint="default" w:ascii="Times New Roman" w:hAnsi="Times New Roman" w:eastAsia="宋体" w:cs="Times New Roman"/>
                      <w:bCs/>
                      <w:color w:val="FF0000"/>
                      <w:kern w:val="44"/>
                    </w:rPr>
                  </w:pPr>
                  <w:r>
                    <w:rPr>
                      <w:rFonts w:hint="default" w:ascii="Times New Roman" w:hAnsi="Times New Roman" w:eastAsia="宋体" w:cs="Times New Roman"/>
                      <w:bCs/>
                      <w:color w:val="auto"/>
                      <w:kern w:val="44"/>
                    </w:rPr>
                    <w:t>环保工程</w:t>
                  </w:r>
                </w:p>
              </w:tc>
              <w:tc>
                <w:tcPr>
                  <w:tcW w:w="720" w:type="dxa"/>
                  <w:vMerge w:val="restart"/>
                  <w:shd w:val="clear" w:color="auto" w:fill="auto"/>
                  <w:vAlign w:val="center"/>
                </w:tcPr>
                <w:p>
                  <w:pPr>
                    <w:pStyle w:val="593"/>
                    <w:rPr>
                      <w:rFonts w:hint="default" w:ascii="Times New Roman" w:hAnsi="Times New Roman" w:eastAsia="宋体" w:cs="Times New Roman"/>
                      <w:bCs/>
                      <w:color w:val="FF0000"/>
                      <w:kern w:val="44"/>
                    </w:rPr>
                  </w:pPr>
                  <w:r>
                    <w:rPr>
                      <w:rFonts w:hint="default" w:ascii="Times New Roman" w:hAnsi="Times New Roman" w:eastAsia="宋体" w:cs="Times New Roman"/>
                      <w:bCs/>
                      <w:color w:val="auto"/>
                      <w:kern w:val="44"/>
                    </w:rPr>
                    <w:t>废水</w:t>
                  </w:r>
                </w:p>
              </w:tc>
              <w:tc>
                <w:tcPr>
                  <w:tcW w:w="1687" w:type="dxa"/>
                  <w:gridSpan w:val="2"/>
                  <w:shd w:val="clear" w:color="auto" w:fill="auto"/>
                  <w:vAlign w:val="center"/>
                </w:tcPr>
                <w:p>
                  <w:pPr>
                    <w:pStyle w:val="593"/>
                    <w:rPr>
                      <w:rFonts w:hint="default" w:ascii="Times New Roman" w:hAnsi="Times New Roman" w:eastAsia="宋体" w:cs="Times New Roman"/>
                      <w:bCs/>
                      <w:color w:val="auto"/>
                      <w:kern w:val="44"/>
                    </w:rPr>
                  </w:pPr>
                  <w:r>
                    <w:rPr>
                      <w:rFonts w:hint="default" w:ascii="Times New Roman" w:hAnsi="Times New Roman" w:eastAsia="宋体" w:cs="Times New Roman"/>
                      <w:bCs/>
                      <w:color w:val="auto"/>
                      <w:kern w:val="44"/>
                    </w:rPr>
                    <w:t>生活污水</w:t>
                  </w:r>
                </w:p>
              </w:tc>
              <w:tc>
                <w:tcPr>
                  <w:tcW w:w="5167" w:type="dxa"/>
                  <w:shd w:val="clear" w:color="auto" w:fill="auto"/>
                  <w:vAlign w:val="center"/>
                </w:tcPr>
                <w:p>
                  <w:pPr>
                    <w:pStyle w:val="593"/>
                    <w:jc w:val="both"/>
                    <w:rPr>
                      <w:rFonts w:hint="default" w:ascii="Times New Roman" w:hAnsi="Times New Roman" w:eastAsia="宋体" w:cs="Times New Roman"/>
                      <w:bCs/>
                      <w:color w:val="auto"/>
                      <w:kern w:val="44"/>
                    </w:rPr>
                  </w:pPr>
                  <w:r>
                    <w:rPr>
                      <w:rFonts w:hint="default" w:ascii="Times New Roman" w:hAnsi="Times New Roman" w:eastAsia="宋体" w:cs="Times New Roman"/>
                      <w:bCs/>
                      <w:color w:val="auto"/>
                      <w:kern w:val="44"/>
                    </w:rPr>
                    <w:t>经</w:t>
                  </w:r>
                  <w:r>
                    <w:rPr>
                      <w:rFonts w:hint="default" w:ascii="Times New Roman" w:hAnsi="Times New Roman" w:eastAsia="宋体" w:cs="Times New Roman"/>
                      <w:bCs/>
                      <w:color w:val="auto"/>
                      <w:kern w:val="44"/>
                      <w:lang w:eastAsia="zh-CN"/>
                    </w:rPr>
                    <w:t>厂区</w:t>
                  </w:r>
                  <w:r>
                    <w:rPr>
                      <w:rFonts w:hint="eastAsia" w:cs="Times New Roman"/>
                      <w:bCs/>
                      <w:color w:val="auto"/>
                      <w:kern w:val="44"/>
                      <w:lang w:eastAsia="zh-CN"/>
                    </w:rPr>
                    <w:t>隔油池</w:t>
                  </w:r>
                  <w:r>
                    <w:rPr>
                      <w:rFonts w:hint="eastAsia" w:cs="Times New Roman"/>
                      <w:bCs/>
                      <w:color w:val="auto"/>
                      <w:kern w:val="44"/>
                      <w:lang w:val="en-US" w:eastAsia="zh-CN"/>
                    </w:rPr>
                    <w:t>+</w:t>
                  </w:r>
                  <w:r>
                    <w:rPr>
                      <w:rFonts w:hint="default" w:ascii="Times New Roman" w:hAnsi="Times New Roman" w:eastAsia="宋体" w:cs="Times New Roman"/>
                      <w:bCs/>
                      <w:color w:val="auto"/>
                      <w:kern w:val="44"/>
                    </w:rPr>
                    <w:t>化粪池</w:t>
                  </w:r>
                  <w:r>
                    <w:rPr>
                      <w:rFonts w:hint="eastAsia" w:cs="Times New Roman"/>
                      <w:bCs/>
                      <w:color w:val="auto"/>
                      <w:kern w:val="44"/>
                      <w:lang w:eastAsia="zh-CN"/>
                    </w:rPr>
                    <w:t>处理后通过生活区排口进园区污水管网入高新技术产业园污水处理厂处理</w:t>
                  </w:r>
                </w:p>
              </w:tc>
              <w:tc>
                <w:tcPr>
                  <w:tcW w:w="1080" w:type="dxa"/>
                  <w:shd w:val="clear" w:color="auto" w:fill="auto"/>
                  <w:vAlign w:val="center"/>
                </w:tcPr>
                <w:p>
                  <w:pPr>
                    <w:pStyle w:val="593"/>
                    <w:rPr>
                      <w:rFonts w:hint="eastAsia" w:ascii="Times New Roman" w:hAnsi="Times New Roman" w:eastAsia="宋体" w:cs="Times New Roman"/>
                      <w:bCs/>
                      <w:color w:val="auto"/>
                      <w:kern w:val="44"/>
                      <w:lang w:eastAsia="zh-CN"/>
                    </w:rPr>
                  </w:pPr>
                  <w:r>
                    <w:rPr>
                      <w:rFonts w:hint="eastAsia" w:cs="Times New Roman"/>
                      <w:bCs/>
                      <w:color w:val="auto"/>
                      <w:kern w:val="44"/>
                      <w:lang w:eastAsia="zh-CN"/>
                    </w:rPr>
                    <w:t>依托园区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720"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1687" w:type="dxa"/>
                  <w:gridSpan w:val="2"/>
                  <w:shd w:val="clear" w:color="auto" w:fill="auto"/>
                  <w:vAlign w:val="center"/>
                </w:tcPr>
                <w:p>
                  <w:pPr>
                    <w:pStyle w:val="593"/>
                    <w:rPr>
                      <w:rFonts w:hint="eastAsia" w:cs="Times New Roman"/>
                      <w:bCs/>
                      <w:color w:val="FF0000"/>
                      <w:kern w:val="44"/>
                      <w:lang w:eastAsia="zh-CN"/>
                    </w:rPr>
                  </w:pPr>
                  <w:r>
                    <w:rPr>
                      <w:rFonts w:hint="eastAsia" w:cs="Times New Roman"/>
                      <w:bCs/>
                      <w:color w:val="FF0000"/>
                      <w:kern w:val="44"/>
                      <w:lang w:eastAsia="zh-CN"/>
                    </w:rPr>
                    <w:t>初期雨水</w:t>
                  </w:r>
                </w:p>
              </w:tc>
              <w:tc>
                <w:tcPr>
                  <w:tcW w:w="5167" w:type="dxa"/>
                  <w:shd w:val="clear" w:color="auto" w:fill="auto"/>
                  <w:vAlign w:val="center"/>
                </w:tcPr>
                <w:p>
                  <w:pPr>
                    <w:pStyle w:val="593"/>
                    <w:jc w:val="both"/>
                    <w:rPr>
                      <w:rFonts w:hint="eastAsia" w:cs="Times New Roman"/>
                      <w:bCs/>
                      <w:color w:val="FF0000"/>
                      <w:kern w:val="44"/>
                      <w:lang w:eastAsia="zh-CN"/>
                    </w:rPr>
                  </w:pPr>
                  <w:r>
                    <w:rPr>
                      <w:rFonts w:hint="eastAsia" w:cs="Times New Roman"/>
                      <w:bCs/>
                      <w:color w:val="FF0000"/>
                      <w:kern w:val="44"/>
                      <w:lang w:eastAsia="zh-CN"/>
                    </w:rPr>
                    <w:t>项目初期雨水汇入厂外雨水池后经水泵抽入厂房洗车池内，经沉淀后回用于车辆冲洗及洒水抑尘。</w:t>
                  </w:r>
                </w:p>
              </w:tc>
              <w:tc>
                <w:tcPr>
                  <w:tcW w:w="1080" w:type="dxa"/>
                  <w:shd w:val="clear" w:color="auto" w:fill="auto"/>
                  <w:vAlign w:val="center"/>
                </w:tcPr>
                <w:p>
                  <w:pPr>
                    <w:pStyle w:val="593"/>
                    <w:rPr>
                      <w:rFonts w:hint="eastAsia" w:cs="Times New Roman"/>
                      <w:bCs/>
                      <w:color w:val="FF0000"/>
                      <w:kern w:val="44"/>
                      <w:lang w:eastAsia="zh-CN"/>
                    </w:rPr>
                  </w:pPr>
                  <w:r>
                    <w:rPr>
                      <w:rFonts w:hint="eastAsia" w:cs="Times New Roman"/>
                      <w:bCs/>
                      <w:color w:val="FF0000"/>
                      <w:kern w:val="44"/>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720"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1687" w:type="dxa"/>
                  <w:gridSpan w:val="2"/>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车辆冲洗水</w:t>
                  </w:r>
                </w:p>
              </w:tc>
              <w:tc>
                <w:tcPr>
                  <w:tcW w:w="5167" w:type="dxa"/>
                  <w:shd w:val="clear" w:color="auto" w:fill="auto"/>
                  <w:vAlign w:val="center"/>
                </w:tcPr>
                <w:p>
                  <w:pPr>
                    <w:pStyle w:val="593"/>
                    <w:jc w:val="both"/>
                    <w:rPr>
                      <w:rFonts w:hint="default" w:cs="Times New Roman"/>
                      <w:bCs/>
                      <w:color w:val="auto"/>
                      <w:kern w:val="44"/>
                      <w:lang w:val="en-US" w:eastAsia="zh-CN"/>
                    </w:rPr>
                  </w:pPr>
                  <w:r>
                    <w:rPr>
                      <w:rFonts w:hint="eastAsia" w:cs="Times New Roman"/>
                      <w:bCs/>
                      <w:color w:val="auto"/>
                      <w:kern w:val="44"/>
                      <w:lang w:eastAsia="zh-CN"/>
                    </w:rPr>
                    <w:t>经洗车池旁沉淀池处理后循环使用，不外排</w:t>
                  </w:r>
                </w:p>
              </w:tc>
              <w:tc>
                <w:tcPr>
                  <w:tcW w:w="1080" w:type="dxa"/>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720"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1687" w:type="dxa"/>
                  <w:gridSpan w:val="2"/>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洒水抑尘水</w:t>
                  </w:r>
                </w:p>
              </w:tc>
              <w:tc>
                <w:tcPr>
                  <w:tcW w:w="5167" w:type="dxa"/>
                  <w:shd w:val="clear" w:color="auto" w:fill="auto"/>
                  <w:vAlign w:val="center"/>
                </w:tcPr>
                <w:p>
                  <w:pPr>
                    <w:pStyle w:val="593"/>
                    <w:jc w:val="both"/>
                    <w:rPr>
                      <w:rFonts w:hint="eastAsia" w:cs="Times New Roman"/>
                      <w:bCs/>
                      <w:color w:val="auto"/>
                      <w:kern w:val="44"/>
                      <w:lang w:eastAsia="zh-CN"/>
                    </w:rPr>
                  </w:pPr>
                  <w:r>
                    <w:rPr>
                      <w:rFonts w:hint="eastAsia" w:cs="Times New Roman"/>
                      <w:bCs/>
                      <w:color w:val="auto"/>
                      <w:kern w:val="44"/>
                      <w:lang w:eastAsia="zh-CN"/>
                    </w:rPr>
                    <w:t>陆丰管业厂区道路洒水抑尘水全部蒸发，不外排</w:t>
                  </w:r>
                </w:p>
              </w:tc>
              <w:tc>
                <w:tcPr>
                  <w:tcW w:w="1080" w:type="dxa"/>
                  <w:shd w:val="clear" w:color="auto" w:fill="auto"/>
                  <w:vAlign w:val="center"/>
                </w:tcPr>
                <w:p>
                  <w:pPr>
                    <w:pStyle w:val="593"/>
                    <w:rPr>
                      <w:rFonts w:hint="eastAsia" w:cs="Times New Roman"/>
                      <w:bCs/>
                      <w:color w:val="auto"/>
                      <w:kern w:val="44"/>
                      <w:lang w:eastAsia="zh-CN"/>
                    </w:rPr>
                  </w:pPr>
                  <w:r>
                    <w:rPr>
                      <w:rFonts w:hint="eastAsia" w:cs="Times New Roman"/>
                      <w:bCs/>
                      <w:color w:val="auto"/>
                      <w:kern w:val="44"/>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36" w:type="dxa"/>
                  <w:vMerge w:val="continue"/>
                  <w:shd w:val="clear" w:color="auto" w:fill="auto"/>
                  <w:vAlign w:val="center"/>
                </w:tcPr>
                <w:p>
                  <w:pPr>
                    <w:jc w:val="center"/>
                    <w:rPr>
                      <w:rFonts w:hint="default" w:ascii="Times New Roman" w:hAnsi="Times New Roman" w:eastAsia="宋体" w:cs="Times New Roman"/>
                      <w:color w:val="FF0000"/>
                      <w:szCs w:val="21"/>
                      <w:lang w:bidi="ar"/>
                    </w:rPr>
                  </w:pPr>
                </w:p>
              </w:tc>
              <w:tc>
                <w:tcPr>
                  <w:tcW w:w="720" w:type="dxa"/>
                  <w:vMerge w:val="restart"/>
                  <w:shd w:val="clear" w:color="auto" w:fill="auto"/>
                  <w:vAlign w:val="center"/>
                </w:tcPr>
                <w:p>
                  <w:pPr>
                    <w:jc w:val="center"/>
                    <w:rPr>
                      <w:rFonts w:hint="eastAsia" w:ascii="Times New Roman" w:hAnsi="Times New Roman" w:eastAsia="宋体" w:cs="Times New Roman"/>
                      <w:color w:val="FF0000"/>
                      <w:szCs w:val="21"/>
                      <w:lang w:eastAsia="zh-CN" w:bidi="ar"/>
                    </w:rPr>
                  </w:pPr>
                  <w:r>
                    <w:rPr>
                      <w:rFonts w:hint="eastAsia" w:ascii="Times New Roman" w:hAnsi="Times New Roman" w:eastAsia="宋体" w:cs="Times New Roman"/>
                      <w:color w:val="auto"/>
                      <w:szCs w:val="21"/>
                      <w:lang w:eastAsia="zh-CN" w:bidi="ar"/>
                    </w:rPr>
                    <w:t>废气</w:t>
                  </w:r>
                </w:p>
              </w:tc>
              <w:tc>
                <w:tcPr>
                  <w:tcW w:w="1687" w:type="dxa"/>
                  <w:gridSpan w:val="2"/>
                  <w:shd w:val="clear" w:color="auto" w:fill="auto"/>
                  <w:vAlign w:val="center"/>
                </w:tcPr>
                <w:p>
                  <w:pPr>
                    <w:jc w:val="center"/>
                    <w:rPr>
                      <w:rFonts w:hint="default"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堆场卸料粉尘</w:t>
                  </w:r>
                </w:p>
              </w:tc>
              <w:tc>
                <w:tcPr>
                  <w:tcW w:w="5167" w:type="dxa"/>
                  <w:shd w:val="clear" w:color="auto" w:fill="auto"/>
                  <w:vAlign w:val="center"/>
                </w:tcPr>
                <w:p>
                  <w:pPr>
                    <w:jc w:val="center"/>
                    <w:rPr>
                      <w:rFonts w:hint="eastAsia"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原料在堆场装卸过程中会产生堆场卸料粉尘，堆场卸料粉尘做无组织排放。</w:t>
                  </w:r>
                </w:p>
              </w:tc>
              <w:tc>
                <w:tcPr>
                  <w:tcW w:w="1080" w:type="dxa"/>
                  <w:shd w:val="clear" w:color="auto" w:fill="auto"/>
                  <w:vAlign w:val="center"/>
                </w:tcPr>
                <w:p>
                  <w:pPr>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36" w:type="dxa"/>
                  <w:vMerge w:val="continue"/>
                  <w:shd w:val="clear" w:color="auto" w:fill="auto"/>
                  <w:vAlign w:val="center"/>
                </w:tcPr>
                <w:p>
                  <w:pPr>
                    <w:jc w:val="center"/>
                    <w:rPr>
                      <w:rFonts w:hint="default" w:ascii="Times New Roman" w:hAnsi="Times New Roman" w:eastAsia="宋体" w:cs="Times New Roman"/>
                      <w:color w:val="FF0000"/>
                      <w:szCs w:val="21"/>
                      <w:lang w:bidi="ar"/>
                    </w:rPr>
                  </w:pPr>
                </w:p>
              </w:tc>
              <w:tc>
                <w:tcPr>
                  <w:tcW w:w="720" w:type="dxa"/>
                  <w:vMerge w:val="continue"/>
                  <w:shd w:val="clear" w:color="auto" w:fill="auto"/>
                  <w:vAlign w:val="center"/>
                </w:tcPr>
                <w:p>
                  <w:pPr>
                    <w:jc w:val="center"/>
                    <w:rPr>
                      <w:rFonts w:hint="eastAsia" w:ascii="Times New Roman" w:hAnsi="Times New Roman" w:eastAsia="宋体" w:cs="Times New Roman"/>
                      <w:color w:val="FF0000"/>
                      <w:szCs w:val="21"/>
                      <w:lang w:eastAsia="zh-CN" w:bidi="ar"/>
                    </w:rPr>
                  </w:pPr>
                </w:p>
              </w:tc>
              <w:tc>
                <w:tcPr>
                  <w:tcW w:w="1687" w:type="dxa"/>
                  <w:gridSpan w:val="2"/>
                  <w:shd w:val="clear" w:color="auto" w:fill="auto"/>
                  <w:vAlign w:val="center"/>
                </w:tcPr>
                <w:p>
                  <w:pPr>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破碎粉尘</w:t>
                  </w:r>
                </w:p>
              </w:tc>
              <w:tc>
                <w:tcPr>
                  <w:tcW w:w="5167" w:type="dxa"/>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天然石膏为大块原料，需进行破碎，破碎过程中会产生破碎粉尘，经负压收集+布袋除尘+15m高排气筒排放</w:t>
                  </w:r>
                </w:p>
              </w:tc>
              <w:tc>
                <w:tcPr>
                  <w:tcW w:w="1080" w:type="dxa"/>
                  <w:shd w:val="clear" w:color="auto" w:fill="auto"/>
                  <w:vAlign w:val="center"/>
                </w:tcPr>
                <w:p>
                  <w:pPr>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36" w:type="dxa"/>
                  <w:vMerge w:val="continue"/>
                  <w:shd w:val="clear" w:color="auto" w:fill="auto"/>
                  <w:vAlign w:val="center"/>
                </w:tcPr>
                <w:p>
                  <w:pPr>
                    <w:jc w:val="center"/>
                    <w:rPr>
                      <w:rFonts w:hint="default" w:ascii="Times New Roman" w:hAnsi="Times New Roman" w:eastAsia="宋体" w:cs="Times New Roman"/>
                      <w:color w:val="FF0000"/>
                      <w:szCs w:val="21"/>
                      <w:lang w:bidi="ar"/>
                    </w:rPr>
                  </w:pPr>
                </w:p>
              </w:tc>
              <w:tc>
                <w:tcPr>
                  <w:tcW w:w="720" w:type="dxa"/>
                  <w:vMerge w:val="continue"/>
                  <w:shd w:val="clear" w:color="auto" w:fill="auto"/>
                  <w:vAlign w:val="center"/>
                </w:tcPr>
                <w:p>
                  <w:pPr>
                    <w:jc w:val="center"/>
                    <w:rPr>
                      <w:rFonts w:hint="eastAsia" w:ascii="Times New Roman" w:hAnsi="Times New Roman" w:eastAsia="宋体" w:cs="Times New Roman"/>
                      <w:color w:val="FF0000"/>
                      <w:szCs w:val="21"/>
                      <w:lang w:eastAsia="zh-CN" w:bidi="ar"/>
                    </w:rPr>
                  </w:pPr>
                </w:p>
              </w:tc>
              <w:tc>
                <w:tcPr>
                  <w:tcW w:w="1687" w:type="dxa"/>
                  <w:gridSpan w:val="2"/>
                  <w:shd w:val="clear" w:color="auto" w:fill="auto"/>
                  <w:vAlign w:val="center"/>
                </w:tcPr>
                <w:p>
                  <w:pPr>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投料粉尘</w:t>
                  </w:r>
                </w:p>
              </w:tc>
              <w:tc>
                <w:tcPr>
                  <w:tcW w:w="5167" w:type="dxa"/>
                  <w:shd w:val="clear" w:color="auto" w:fill="auto"/>
                  <w:vAlign w:val="center"/>
                </w:tcPr>
                <w:p>
                  <w:pPr>
                    <w:jc w:val="center"/>
                    <w:rPr>
                      <w:rFonts w:hint="eastAsia"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项目投料过程中产生投料粉尘，经负压收集+布袋除尘+15m高排气筒排放</w:t>
                  </w:r>
                </w:p>
              </w:tc>
              <w:tc>
                <w:tcPr>
                  <w:tcW w:w="1080" w:type="dxa"/>
                  <w:shd w:val="clear" w:color="auto" w:fill="auto"/>
                  <w:vAlign w:val="center"/>
                </w:tcPr>
                <w:p>
                  <w:pPr>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36" w:type="dxa"/>
                  <w:vMerge w:val="continue"/>
                  <w:shd w:val="clear" w:color="auto" w:fill="auto"/>
                  <w:vAlign w:val="center"/>
                </w:tcPr>
                <w:p>
                  <w:pPr>
                    <w:jc w:val="center"/>
                    <w:rPr>
                      <w:rFonts w:hint="default" w:ascii="Times New Roman" w:hAnsi="Times New Roman" w:eastAsia="宋体" w:cs="Times New Roman"/>
                      <w:color w:val="FF0000"/>
                      <w:szCs w:val="21"/>
                      <w:lang w:bidi="ar"/>
                    </w:rPr>
                  </w:pPr>
                </w:p>
              </w:tc>
              <w:tc>
                <w:tcPr>
                  <w:tcW w:w="720" w:type="dxa"/>
                  <w:vMerge w:val="continue"/>
                  <w:shd w:val="clear" w:color="auto" w:fill="auto"/>
                  <w:vAlign w:val="center"/>
                </w:tcPr>
                <w:p>
                  <w:pPr>
                    <w:jc w:val="center"/>
                    <w:rPr>
                      <w:rFonts w:hint="eastAsia" w:ascii="Times New Roman" w:hAnsi="Times New Roman" w:eastAsia="宋体" w:cs="Times New Roman"/>
                      <w:color w:val="FF0000"/>
                      <w:szCs w:val="21"/>
                      <w:lang w:eastAsia="zh-CN" w:bidi="ar"/>
                    </w:rPr>
                  </w:pPr>
                </w:p>
              </w:tc>
              <w:tc>
                <w:tcPr>
                  <w:tcW w:w="1687" w:type="dxa"/>
                  <w:gridSpan w:val="2"/>
                  <w:shd w:val="clear" w:color="auto" w:fill="auto"/>
                  <w:vAlign w:val="center"/>
                </w:tcPr>
                <w:p>
                  <w:pPr>
                    <w:jc w:val="center"/>
                    <w:rPr>
                      <w:rFonts w:hint="eastAsia" w:ascii="Times New Roman" w:hAnsi="Times New Roman" w:eastAsia="宋体" w:cs="Times New Roman"/>
                      <w:color w:val="FF0000"/>
                      <w:szCs w:val="21"/>
                      <w:lang w:eastAsia="zh-CN" w:bidi="ar"/>
                    </w:rPr>
                  </w:pPr>
                  <w:r>
                    <w:rPr>
                      <w:rFonts w:hint="eastAsia" w:ascii="Times New Roman" w:hAnsi="Times New Roman" w:eastAsia="宋体" w:cs="Times New Roman"/>
                      <w:color w:val="FF0000"/>
                      <w:szCs w:val="21"/>
                      <w:lang w:eastAsia="zh-CN" w:bidi="ar"/>
                    </w:rPr>
                    <w:t>研磨粉尘</w:t>
                  </w:r>
                </w:p>
              </w:tc>
              <w:tc>
                <w:tcPr>
                  <w:tcW w:w="5167" w:type="dxa"/>
                  <w:shd w:val="clear" w:color="auto" w:fill="auto"/>
                  <w:vAlign w:val="center"/>
                </w:tcPr>
                <w:p>
                  <w:pPr>
                    <w:jc w:val="center"/>
                    <w:rPr>
                      <w:rFonts w:hint="default" w:ascii="Times New Roman" w:hAnsi="Times New Roman" w:eastAsia="宋体" w:cs="Times New Roman"/>
                      <w:color w:val="FF0000"/>
                      <w:szCs w:val="21"/>
                      <w:lang w:val="en-US" w:eastAsia="zh-CN" w:bidi="ar"/>
                    </w:rPr>
                  </w:pPr>
                  <w:r>
                    <w:rPr>
                      <w:rFonts w:hint="eastAsia" w:ascii="Times New Roman" w:hAnsi="Times New Roman" w:eastAsia="宋体" w:cs="Times New Roman"/>
                      <w:color w:val="FF0000"/>
                      <w:szCs w:val="21"/>
                      <w:lang w:val="en-US" w:eastAsia="zh-CN" w:bidi="ar"/>
                    </w:rPr>
                    <w:t>设备球磨机研磨原材料时，设备处于密闭空间，研磨粉尘经密闭收集+脉冲除尘+15m高排气筒排放</w:t>
                  </w:r>
                </w:p>
              </w:tc>
              <w:tc>
                <w:tcPr>
                  <w:tcW w:w="1080" w:type="dxa"/>
                  <w:shd w:val="clear" w:color="auto" w:fill="auto"/>
                  <w:vAlign w:val="center"/>
                </w:tcPr>
                <w:p>
                  <w:pPr>
                    <w:jc w:val="center"/>
                    <w:rPr>
                      <w:rFonts w:hint="eastAsia" w:ascii="Times New Roman" w:hAnsi="Times New Roman" w:eastAsia="宋体" w:cs="Times New Roman"/>
                      <w:color w:val="FF0000"/>
                      <w:szCs w:val="21"/>
                      <w:lang w:eastAsia="zh-CN" w:bidi="ar"/>
                    </w:rPr>
                  </w:pPr>
                  <w:r>
                    <w:rPr>
                      <w:rFonts w:hint="eastAsia" w:ascii="Times New Roman" w:hAnsi="Times New Roman" w:eastAsia="宋体" w:cs="Times New Roman"/>
                      <w:color w:val="FF0000"/>
                      <w:szCs w:val="21"/>
                      <w:lang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36" w:type="dxa"/>
                  <w:vMerge w:val="continue"/>
                  <w:shd w:val="clear" w:color="auto" w:fill="auto"/>
                  <w:vAlign w:val="center"/>
                </w:tcPr>
                <w:p>
                  <w:pPr>
                    <w:jc w:val="center"/>
                    <w:rPr>
                      <w:rFonts w:hint="default" w:ascii="Times New Roman" w:hAnsi="Times New Roman" w:eastAsia="宋体" w:cs="Times New Roman"/>
                      <w:color w:val="FF0000"/>
                      <w:szCs w:val="21"/>
                      <w:lang w:bidi="ar"/>
                    </w:rPr>
                  </w:pPr>
                </w:p>
              </w:tc>
              <w:tc>
                <w:tcPr>
                  <w:tcW w:w="720" w:type="dxa"/>
                  <w:vMerge w:val="continue"/>
                  <w:shd w:val="clear" w:color="auto" w:fill="auto"/>
                  <w:vAlign w:val="center"/>
                </w:tcPr>
                <w:p>
                  <w:pPr>
                    <w:jc w:val="center"/>
                    <w:rPr>
                      <w:rFonts w:hint="eastAsia" w:ascii="Times New Roman" w:hAnsi="Times New Roman" w:eastAsia="宋体" w:cs="Times New Roman"/>
                      <w:color w:val="FF0000"/>
                      <w:szCs w:val="21"/>
                      <w:lang w:eastAsia="zh-CN" w:bidi="ar"/>
                    </w:rPr>
                  </w:pPr>
                </w:p>
              </w:tc>
              <w:tc>
                <w:tcPr>
                  <w:tcW w:w="1687" w:type="dxa"/>
                  <w:gridSpan w:val="2"/>
                  <w:shd w:val="clear" w:color="auto" w:fill="auto"/>
                  <w:vAlign w:val="center"/>
                </w:tcPr>
                <w:p>
                  <w:pPr>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成品罐粉尘</w:t>
                  </w:r>
                </w:p>
              </w:tc>
              <w:tc>
                <w:tcPr>
                  <w:tcW w:w="5167" w:type="dxa"/>
                  <w:shd w:val="clear" w:color="auto" w:fill="auto"/>
                  <w:vAlign w:val="center"/>
                </w:tcPr>
                <w:p>
                  <w:pPr>
                    <w:jc w:val="center"/>
                    <w:rPr>
                      <w:rFonts w:hint="eastAsia"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研磨后的成品通过密闭管道输送至成品罐内储存，成品罐粉尘经设备自带布袋除尘器处理后无组织排放</w:t>
                  </w:r>
                </w:p>
              </w:tc>
              <w:tc>
                <w:tcPr>
                  <w:tcW w:w="1080" w:type="dxa"/>
                  <w:shd w:val="clear" w:color="auto" w:fill="auto"/>
                  <w:vAlign w:val="center"/>
                </w:tcPr>
                <w:p>
                  <w:pPr>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vMerge w:val="continue"/>
                  <w:shd w:val="clear" w:color="auto" w:fill="auto"/>
                  <w:vAlign w:val="center"/>
                </w:tcPr>
                <w:p>
                  <w:pPr>
                    <w:jc w:val="center"/>
                    <w:rPr>
                      <w:rFonts w:hint="default" w:ascii="Times New Roman" w:hAnsi="Times New Roman" w:eastAsia="宋体" w:cs="Times New Roman"/>
                      <w:color w:val="FF0000"/>
                      <w:szCs w:val="21"/>
                      <w:lang w:bidi="ar"/>
                    </w:rPr>
                  </w:pPr>
                </w:p>
              </w:tc>
              <w:tc>
                <w:tcPr>
                  <w:tcW w:w="720" w:type="dxa"/>
                  <w:vMerge w:val="continue"/>
                  <w:shd w:val="clear" w:color="auto" w:fill="auto"/>
                  <w:vAlign w:val="center"/>
                </w:tcPr>
                <w:p>
                  <w:pPr>
                    <w:jc w:val="center"/>
                    <w:rPr>
                      <w:rFonts w:hint="eastAsia" w:ascii="Times New Roman" w:hAnsi="Times New Roman" w:eastAsia="宋体" w:cs="Times New Roman"/>
                      <w:color w:val="FF0000"/>
                      <w:szCs w:val="21"/>
                      <w:lang w:eastAsia="zh-CN" w:bidi="ar"/>
                    </w:rPr>
                  </w:pPr>
                </w:p>
              </w:tc>
              <w:tc>
                <w:tcPr>
                  <w:tcW w:w="1687" w:type="dxa"/>
                  <w:gridSpan w:val="2"/>
                  <w:shd w:val="clear" w:color="auto" w:fill="auto"/>
                  <w:vAlign w:val="center"/>
                </w:tcPr>
                <w:p>
                  <w:pPr>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打包粉尘</w:t>
                  </w:r>
                </w:p>
              </w:tc>
              <w:tc>
                <w:tcPr>
                  <w:tcW w:w="5167" w:type="dxa"/>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成品打包过程中会产生打包粉尘，经负压收集+布袋除尘器+15m高排气筒排放</w:t>
                  </w:r>
                </w:p>
              </w:tc>
              <w:tc>
                <w:tcPr>
                  <w:tcW w:w="1080" w:type="dxa"/>
                  <w:shd w:val="clear" w:color="auto" w:fill="auto"/>
                  <w:vAlign w:val="center"/>
                </w:tcPr>
                <w:p>
                  <w:pPr>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6" w:type="dxa"/>
                  <w:vMerge w:val="continue"/>
                  <w:shd w:val="clear" w:color="auto" w:fill="auto"/>
                  <w:vAlign w:val="center"/>
                </w:tcPr>
                <w:p>
                  <w:pPr>
                    <w:jc w:val="center"/>
                    <w:rPr>
                      <w:rFonts w:hint="default" w:ascii="Times New Roman" w:hAnsi="Times New Roman" w:eastAsia="宋体" w:cs="Times New Roman"/>
                      <w:color w:val="FF0000"/>
                      <w:szCs w:val="21"/>
                      <w:lang w:bidi="ar"/>
                    </w:rPr>
                  </w:pPr>
                </w:p>
              </w:tc>
              <w:tc>
                <w:tcPr>
                  <w:tcW w:w="720" w:type="dxa"/>
                  <w:vMerge w:val="continue"/>
                  <w:shd w:val="clear" w:color="auto" w:fill="auto"/>
                  <w:vAlign w:val="center"/>
                </w:tcPr>
                <w:p>
                  <w:pPr>
                    <w:jc w:val="center"/>
                    <w:rPr>
                      <w:rFonts w:hint="default" w:ascii="Times New Roman" w:hAnsi="Times New Roman" w:eastAsia="宋体" w:cs="Times New Roman"/>
                      <w:color w:val="FF0000"/>
                      <w:szCs w:val="21"/>
                      <w:lang w:bidi="ar"/>
                    </w:rPr>
                  </w:pPr>
                </w:p>
              </w:tc>
              <w:tc>
                <w:tcPr>
                  <w:tcW w:w="1687" w:type="dxa"/>
                  <w:gridSpan w:val="2"/>
                  <w:shd w:val="clear" w:color="auto" w:fill="auto"/>
                  <w:vAlign w:val="center"/>
                </w:tcPr>
                <w:p>
                  <w:pPr>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食堂油烟</w:t>
                  </w:r>
                </w:p>
              </w:tc>
              <w:tc>
                <w:tcPr>
                  <w:tcW w:w="5167" w:type="dxa"/>
                  <w:shd w:val="clear" w:color="auto" w:fill="auto"/>
                  <w:vAlign w:val="center"/>
                </w:tcPr>
                <w:p>
                  <w:pPr>
                    <w:jc w:val="center"/>
                    <w:rPr>
                      <w:rFonts w:hint="eastAsia"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收集后引至楼顶排放</w:t>
                  </w:r>
                </w:p>
              </w:tc>
              <w:tc>
                <w:tcPr>
                  <w:tcW w:w="1080" w:type="dxa"/>
                  <w:shd w:val="clear" w:color="auto" w:fill="auto"/>
                  <w:vAlign w:val="center"/>
                </w:tcPr>
                <w:p>
                  <w:pPr>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720" w:type="dxa"/>
                  <w:shd w:val="clear" w:color="auto" w:fill="auto"/>
                  <w:vAlign w:val="center"/>
                </w:tcPr>
                <w:p>
                  <w:pPr>
                    <w:pStyle w:val="593"/>
                    <w:rPr>
                      <w:rFonts w:hint="default" w:ascii="Times New Roman" w:hAnsi="Times New Roman" w:eastAsia="宋体" w:cs="Times New Roman"/>
                      <w:bCs/>
                      <w:color w:val="auto"/>
                      <w:kern w:val="44"/>
                      <w:lang w:eastAsia="zh-CN"/>
                    </w:rPr>
                  </w:pPr>
                  <w:r>
                    <w:rPr>
                      <w:rFonts w:hint="default" w:ascii="Times New Roman" w:hAnsi="Times New Roman" w:eastAsia="宋体" w:cs="Times New Roman"/>
                      <w:bCs/>
                      <w:color w:val="auto"/>
                      <w:kern w:val="44"/>
                      <w:lang w:eastAsia="zh-CN"/>
                    </w:rPr>
                    <w:t>噪声</w:t>
                  </w:r>
                </w:p>
              </w:tc>
              <w:tc>
                <w:tcPr>
                  <w:tcW w:w="1687" w:type="dxa"/>
                  <w:gridSpan w:val="2"/>
                  <w:shd w:val="clear" w:color="auto" w:fill="auto"/>
                  <w:vAlign w:val="center"/>
                </w:tcPr>
                <w:p>
                  <w:pPr>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设备噪声</w:t>
                  </w:r>
                </w:p>
              </w:tc>
              <w:tc>
                <w:tcPr>
                  <w:tcW w:w="5167" w:type="dxa"/>
                  <w:shd w:val="clear" w:color="auto" w:fill="auto"/>
                  <w:vAlign w:val="center"/>
                </w:tcPr>
                <w:p>
                  <w:pPr>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减震底座，隔声，消声</w:t>
                  </w:r>
                </w:p>
              </w:tc>
              <w:tc>
                <w:tcPr>
                  <w:tcW w:w="1080" w:type="dxa"/>
                  <w:shd w:val="clear" w:color="auto" w:fill="auto"/>
                  <w:vAlign w:val="center"/>
                </w:tcPr>
                <w:p>
                  <w:pPr>
                    <w:jc w:val="center"/>
                    <w:rPr>
                      <w:rFonts w:hint="default" w:ascii="Times New Roman" w:hAnsi="Times New Roman" w:eastAsia="宋体" w:cs="Times New Roman"/>
                      <w:bCs/>
                      <w:color w:val="auto"/>
                      <w:kern w:val="44"/>
                      <w:szCs w:val="21"/>
                      <w:lang w:eastAsia="zh-CN"/>
                    </w:rPr>
                  </w:pPr>
                  <w:r>
                    <w:rPr>
                      <w:rFonts w:hint="default" w:ascii="Times New Roman" w:hAnsi="Times New Roman" w:eastAsia="宋体" w:cs="Times New Roman"/>
                      <w:bCs/>
                      <w:color w:val="auto"/>
                      <w:kern w:val="44"/>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720" w:type="dxa"/>
                  <w:vMerge w:val="restart"/>
                  <w:shd w:val="clear" w:color="auto" w:fill="auto"/>
                  <w:vAlign w:val="center"/>
                </w:tcPr>
                <w:p>
                  <w:pPr>
                    <w:pStyle w:val="593"/>
                    <w:rPr>
                      <w:rFonts w:hint="default" w:ascii="Times New Roman" w:hAnsi="Times New Roman" w:eastAsia="宋体" w:cs="Times New Roman"/>
                      <w:bCs/>
                      <w:color w:val="auto"/>
                      <w:kern w:val="44"/>
                      <w:highlight w:val="yellow"/>
                    </w:rPr>
                  </w:pPr>
                  <w:r>
                    <w:rPr>
                      <w:rFonts w:hint="default" w:ascii="Times New Roman" w:hAnsi="Times New Roman" w:eastAsia="宋体" w:cs="Times New Roman"/>
                      <w:bCs/>
                      <w:color w:val="auto"/>
                      <w:kern w:val="44"/>
                    </w:rPr>
                    <w:t>固废</w:t>
                  </w:r>
                </w:p>
              </w:tc>
              <w:tc>
                <w:tcPr>
                  <w:tcW w:w="1687" w:type="dxa"/>
                  <w:gridSpan w:val="2"/>
                  <w:shd w:val="clear" w:color="auto" w:fill="auto"/>
                  <w:vAlign w:val="center"/>
                </w:tcPr>
                <w:p>
                  <w:pPr>
                    <w:pStyle w:val="593"/>
                    <w:rPr>
                      <w:rFonts w:hint="default" w:ascii="Times New Roman" w:hAnsi="Times New Roman" w:eastAsia="宋体" w:cs="Times New Roman"/>
                      <w:bCs/>
                      <w:color w:val="auto"/>
                      <w:kern w:val="44"/>
                    </w:rPr>
                  </w:pPr>
                  <w:r>
                    <w:rPr>
                      <w:rFonts w:hint="default" w:ascii="Times New Roman" w:hAnsi="Times New Roman" w:eastAsia="宋体" w:cs="Times New Roman"/>
                      <w:bCs/>
                      <w:color w:val="auto"/>
                      <w:kern w:val="44"/>
                    </w:rPr>
                    <w:t>一般固废暂存间</w:t>
                  </w:r>
                </w:p>
              </w:tc>
              <w:tc>
                <w:tcPr>
                  <w:tcW w:w="5167" w:type="dxa"/>
                  <w:shd w:val="clear" w:color="auto" w:fill="auto"/>
                  <w:vAlign w:val="center"/>
                </w:tcPr>
                <w:p>
                  <w:pPr>
                    <w:pStyle w:val="593"/>
                    <w:jc w:val="both"/>
                    <w:rPr>
                      <w:rFonts w:hint="default" w:ascii="Times New Roman" w:hAnsi="Times New Roman" w:eastAsia="宋体" w:cs="Times New Roman"/>
                      <w:bCs/>
                      <w:color w:val="auto"/>
                      <w:kern w:val="44"/>
                      <w:lang w:val="en-US" w:eastAsia="zh-CN"/>
                    </w:rPr>
                  </w:pPr>
                  <w:r>
                    <w:rPr>
                      <w:rFonts w:hint="eastAsia" w:cs="Times New Roman"/>
                      <w:bCs/>
                      <w:color w:val="auto"/>
                      <w:kern w:val="44"/>
                      <w:lang w:val="en-US" w:eastAsia="zh-CN"/>
                    </w:rPr>
                    <w:t>位于厂区北侧靠门处，用于一般固废堆放，面积为5m</w:t>
                  </w:r>
                  <w:r>
                    <w:rPr>
                      <w:rFonts w:hint="eastAsia" w:cs="Times New Roman"/>
                      <w:bCs/>
                      <w:color w:val="auto"/>
                      <w:kern w:val="44"/>
                      <w:vertAlign w:val="superscript"/>
                      <w:lang w:val="en-US" w:eastAsia="zh-CN"/>
                    </w:rPr>
                    <w:t>2</w:t>
                  </w:r>
                </w:p>
              </w:tc>
              <w:tc>
                <w:tcPr>
                  <w:tcW w:w="1080" w:type="dxa"/>
                  <w:shd w:val="clear" w:color="auto" w:fill="auto"/>
                  <w:vAlign w:val="center"/>
                </w:tcPr>
                <w:p>
                  <w:pPr>
                    <w:jc w:val="center"/>
                    <w:rPr>
                      <w:rFonts w:hint="default" w:ascii="Times New Roman" w:hAnsi="Times New Roman" w:eastAsia="宋体" w:cs="Times New Roman"/>
                      <w:bCs/>
                      <w:color w:val="auto"/>
                      <w:kern w:val="44"/>
                      <w:szCs w:val="21"/>
                    </w:rPr>
                  </w:pPr>
                  <w:r>
                    <w:rPr>
                      <w:rFonts w:hint="default" w:ascii="Times New Roman" w:hAnsi="Times New Roman" w:eastAsia="宋体" w:cs="Times New Roman"/>
                      <w:bCs/>
                      <w:color w:val="auto"/>
                      <w:kern w:val="44"/>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6" w:type="dxa"/>
                  <w:vMerge w:val="continue"/>
                  <w:shd w:val="clear" w:color="auto" w:fill="auto"/>
                  <w:vAlign w:val="center"/>
                </w:tcPr>
                <w:p>
                  <w:pPr>
                    <w:pStyle w:val="593"/>
                    <w:rPr>
                      <w:rFonts w:hint="default" w:ascii="Times New Roman" w:hAnsi="Times New Roman" w:eastAsia="宋体" w:cs="Times New Roman"/>
                      <w:bCs/>
                      <w:color w:val="FF0000"/>
                      <w:kern w:val="44"/>
                    </w:rPr>
                  </w:pPr>
                </w:p>
              </w:tc>
              <w:tc>
                <w:tcPr>
                  <w:tcW w:w="720" w:type="dxa"/>
                  <w:vMerge w:val="continue"/>
                  <w:shd w:val="clear" w:color="auto" w:fill="auto"/>
                  <w:vAlign w:val="center"/>
                </w:tcPr>
                <w:p>
                  <w:pPr>
                    <w:pStyle w:val="593"/>
                    <w:rPr>
                      <w:rFonts w:hint="default" w:ascii="Times New Roman" w:hAnsi="Times New Roman" w:eastAsia="宋体" w:cs="Times New Roman"/>
                      <w:bCs/>
                      <w:color w:val="auto"/>
                      <w:kern w:val="44"/>
                    </w:rPr>
                  </w:pPr>
                </w:p>
              </w:tc>
              <w:tc>
                <w:tcPr>
                  <w:tcW w:w="1687" w:type="dxa"/>
                  <w:gridSpan w:val="2"/>
                  <w:shd w:val="clear" w:color="auto" w:fill="auto"/>
                  <w:vAlign w:val="center"/>
                </w:tcPr>
                <w:p>
                  <w:pPr>
                    <w:pStyle w:val="593"/>
                    <w:rPr>
                      <w:rFonts w:hint="eastAsia" w:ascii="Times New Roman" w:hAnsi="Times New Roman" w:eastAsia="宋体" w:cs="Times New Roman"/>
                      <w:bCs/>
                      <w:color w:val="auto"/>
                      <w:kern w:val="44"/>
                      <w:lang w:eastAsia="zh-CN"/>
                    </w:rPr>
                  </w:pPr>
                  <w:r>
                    <w:rPr>
                      <w:rFonts w:hint="eastAsia" w:cs="Times New Roman"/>
                      <w:bCs/>
                      <w:color w:val="auto"/>
                      <w:kern w:val="44"/>
                      <w:lang w:eastAsia="zh-CN"/>
                    </w:rPr>
                    <w:t>危废间</w:t>
                  </w:r>
                </w:p>
              </w:tc>
              <w:tc>
                <w:tcPr>
                  <w:tcW w:w="5167" w:type="dxa"/>
                  <w:shd w:val="clear" w:color="auto" w:fill="auto"/>
                  <w:vAlign w:val="center"/>
                </w:tcPr>
                <w:p>
                  <w:pPr>
                    <w:pStyle w:val="593"/>
                    <w:jc w:val="both"/>
                    <w:rPr>
                      <w:rFonts w:hint="default" w:cs="Times New Roman"/>
                      <w:bCs/>
                      <w:color w:val="auto"/>
                      <w:kern w:val="44"/>
                      <w:lang w:val="en-US" w:eastAsia="zh-CN"/>
                    </w:rPr>
                  </w:pPr>
                  <w:r>
                    <w:rPr>
                      <w:rFonts w:hint="eastAsia" w:cs="Times New Roman"/>
                      <w:bCs/>
                      <w:color w:val="auto"/>
                      <w:kern w:val="44"/>
                      <w:lang w:val="en-US" w:eastAsia="zh-CN"/>
                    </w:rPr>
                    <w:t>位于厂区西南侧，用于存放危废，面积为3m</w:t>
                  </w:r>
                  <w:r>
                    <w:rPr>
                      <w:rFonts w:hint="eastAsia" w:cs="Times New Roman"/>
                      <w:bCs/>
                      <w:color w:val="auto"/>
                      <w:kern w:val="44"/>
                      <w:vertAlign w:val="superscript"/>
                      <w:lang w:val="en-US" w:eastAsia="zh-CN"/>
                    </w:rPr>
                    <w:t>2</w:t>
                  </w:r>
                </w:p>
              </w:tc>
              <w:tc>
                <w:tcPr>
                  <w:tcW w:w="1080" w:type="dxa"/>
                  <w:shd w:val="clear" w:color="auto" w:fill="auto"/>
                  <w:vAlign w:val="center"/>
                </w:tcPr>
                <w:p>
                  <w:pPr>
                    <w:jc w:val="center"/>
                    <w:rPr>
                      <w:rFonts w:hint="eastAsia" w:ascii="Times New Roman" w:hAnsi="Times New Roman" w:eastAsia="宋体" w:cs="Times New Roman"/>
                      <w:bCs/>
                      <w:color w:val="auto"/>
                      <w:kern w:val="44"/>
                      <w:szCs w:val="21"/>
                      <w:lang w:eastAsia="zh-CN"/>
                    </w:rPr>
                  </w:pPr>
                  <w:r>
                    <w:rPr>
                      <w:rFonts w:hint="eastAsia" w:ascii="Times New Roman" w:hAnsi="Times New Roman" w:eastAsia="宋体" w:cs="Times New Roman"/>
                      <w:bCs/>
                      <w:color w:val="auto"/>
                      <w:kern w:val="44"/>
                      <w:szCs w:val="21"/>
                      <w:lang w:eastAsia="zh-CN"/>
                    </w:rPr>
                    <w:t>新建</w:t>
                  </w:r>
                </w:p>
              </w:tc>
            </w:tr>
          </w:tbl>
          <w:p>
            <w:pPr>
              <w:adjustRightInd w:val="0"/>
              <w:snapToGrid w:val="0"/>
              <w:spacing w:line="360" w:lineRule="auto"/>
              <w:rPr>
                <w:rFonts w:hint="default" w:ascii="Times New Roman" w:hAnsi="Times New Roman" w:eastAsia="宋体" w:cs="Times New Roman"/>
                <w:b/>
                <w:color w:val="auto"/>
                <w:kern w:val="44"/>
                <w:sz w:val="24"/>
                <w:szCs w:val="24"/>
              </w:rPr>
            </w:pPr>
            <w:r>
              <w:rPr>
                <w:rFonts w:hint="default" w:ascii="Times New Roman" w:hAnsi="Times New Roman" w:eastAsia="宋体" w:cs="Times New Roman"/>
                <w:b/>
                <w:color w:val="auto"/>
                <w:kern w:val="44"/>
                <w:sz w:val="24"/>
                <w:szCs w:val="24"/>
              </w:rPr>
              <w:t>3、产品方案</w:t>
            </w:r>
          </w:p>
          <w:p>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本项目产品及产量见下表。</w:t>
            </w:r>
          </w:p>
          <w:p>
            <w:pPr>
              <w:bidi w:val="0"/>
              <w:rPr>
                <w:rFonts w:hint="default" w:ascii="Times New Roman" w:hAnsi="Times New Roman" w:eastAsia="宋体" w:cs="Times New Roman"/>
                <w:color w:val="auto"/>
                <w:sz w:val="24"/>
                <w:szCs w:val="24"/>
              </w:rPr>
            </w:pPr>
          </w:p>
          <w:p>
            <w:pPr>
              <w:bidi w:val="0"/>
              <w:rPr>
                <w:rFonts w:hint="default" w:ascii="Times New Roman" w:hAnsi="Times New Roman" w:eastAsia="宋体" w:cs="Times New Roman"/>
                <w:color w:val="auto"/>
                <w:sz w:val="24"/>
                <w:szCs w:val="24"/>
                <w:lang w:val="zh-CN"/>
              </w:rPr>
            </w:pPr>
          </w:p>
          <w:p>
            <w:pPr>
              <w:numPr>
                <w:ilvl w:val="0"/>
                <w:numId w:val="3"/>
              </w:numPr>
              <w:adjustRightInd w:val="0"/>
              <w:snapToGrid w:val="0"/>
              <w:spacing w:line="240" w:lineRule="auto"/>
              <w:jc w:val="center"/>
              <w:rPr>
                <w:rFonts w:hint="default" w:ascii="Times New Roman" w:hAnsi="Times New Roman" w:eastAsia="宋体" w:cs="Times New Roman"/>
                <w:b/>
                <w:color w:val="auto"/>
                <w:kern w:val="44"/>
                <w:szCs w:val="21"/>
                <w:lang w:val="zh-CN"/>
              </w:rPr>
            </w:pPr>
            <w:r>
              <w:rPr>
                <w:rFonts w:hint="default" w:ascii="Times New Roman" w:hAnsi="Times New Roman" w:eastAsia="宋体" w:cs="Times New Roman"/>
                <w:b/>
                <w:color w:val="auto"/>
                <w:kern w:val="44"/>
                <w:szCs w:val="21"/>
                <w:lang w:val="zh-CN"/>
              </w:rPr>
              <w:t>产品及产量</w:t>
            </w:r>
          </w:p>
          <w:tbl>
            <w:tblPr>
              <w:tblStyle w:val="57"/>
              <w:tblW w:w="6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241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24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产品名称</w:t>
                  </w:r>
                </w:p>
              </w:tc>
              <w:tc>
                <w:tcPr>
                  <w:tcW w:w="25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4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氟石膏粉</w:t>
                  </w:r>
                </w:p>
              </w:tc>
              <w:tc>
                <w:tcPr>
                  <w:tcW w:w="25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249999.3685t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24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天然石膏粉</w:t>
                  </w:r>
                </w:p>
              </w:tc>
              <w:tc>
                <w:tcPr>
                  <w:tcW w:w="25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79998.6079t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24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碳酸钙</w:t>
                  </w:r>
                </w:p>
              </w:tc>
              <w:tc>
                <w:tcPr>
                  <w:tcW w:w="25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179999.5455t</w:t>
                  </w:r>
                </w:p>
              </w:tc>
            </w:tr>
          </w:tbl>
          <w:p>
            <w:pPr>
              <w:adjustRightInd w:val="0"/>
              <w:snapToGrid w:val="0"/>
              <w:spacing w:before="120" w:beforeLines="50" w:line="240" w:lineRule="auto"/>
              <w:rPr>
                <w:rFonts w:hint="default" w:ascii="Times New Roman" w:hAnsi="Times New Roman" w:eastAsia="宋体" w:cs="Times New Roman"/>
                <w:b w:val="0"/>
                <w:bCs/>
                <w:color w:val="FF0000"/>
                <w:kern w:val="44"/>
                <w:sz w:val="18"/>
                <w:szCs w:val="18"/>
                <w:lang w:val="en-US" w:eastAsia="zh-CN"/>
              </w:rPr>
            </w:pPr>
            <w:r>
              <w:rPr>
                <w:rFonts w:hint="eastAsia" w:ascii="Times New Roman" w:hAnsi="Times New Roman" w:eastAsia="宋体" w:cs="Times New Roman"/>
                <w:b w:val="0"/>
                <w:bCs/>
                <w:color w:val="FF0000"/>
                <w:kern w:val="44"/>
                <w:sz w:val="18"/>
                <w:szCs w:val="18"/>
                <w:lang w:eastAsia="zh-CN"/>
              </w:rPr>
              <w:t>注：项目成品无具体产品质量标准，根据购置方要求进行相应加工；约</w:t>
            </w:r>
            <w:r>
              <w:rPr>
                <w:rFonts w:hint="eastAsia" w:ascii="Times New Roman" w:hAnsi="Times New Roman" w:eastAsia="宋体" w:cs="Times New Roman"/>
                <w:b w:val="0"/>
                <w:bCs/>
                <w:color w:val="FF0000"/>
                <w:kern w:val="44"/>
                <w:sz w:val="18"/>
                <w:szCs w:val="18"/>
                <w:lang w:val="en-US" w:eastAsia="zh-CN"/>
              </w:rPr>
              <w:t>5%成品</w:t>
            </w:r>
            <w:r>
              <w:rPr>
                <w:rFonts w:hint="eastAsia" w:ascii="Times New Roman" w:hAnsi="Times New Roman" w:eastAsia="宋体" w:cs="Times New Roman"/>
                <w:b w:val="0"/>
                <w:bCs/>
                <w:color w:val="FF0000"/>
                <w:kern w:val="44"/>
                <w:sz w:val="18"/>
                <w:szCs w:val="18"/>
                <w:lang w:eastAsia="zh-CN"/>
              </w:rPr>
              <w:t>打包方式为吨包出售，剩余</w:t>
            </w:r>
            <w:r>
              <w:rPr>
                <w:rFonts w:hint="eastAsia" w:ascii="Times New Roman" w:hAnsi="Times New Roman" w:eastAsia="宋体" w:cs="Times New Roman"/>
                <w:b w:val="0"/>
                <w:bCs/>
                <w:color w:val="FF0000"/>
                <w:kern w:val="44"/>
                <w:sz w:val="18"/>
                <w:szCs w:val="18"/>
                <w:lang w:val="en-US" w:eastAsia="zh-CN"/>
              </w:rPr>
              <w:t>95%成品打包方式为密闭车辆运输。</w:t>
            </w:r>
          </w:p>
          <w:p>
            <w:pPr>
              <w:adjustRightInd w:val="0"/>
              <w:snapToGrid w:val="0"/>
              <w:spacing w:before="120" w:beforeLines="50" w:line="360" w:lineRule="auto"/>
              <w:rPr>
                <w:rFonts w:hint="eastAsia" w:ascii="Times New Roman" w:hAnsi="Times New Roman" w:eastAsia="宋体" w:cs="Times New Roman"/>
                <w:b/>
                <w:color w:val="auto"/>
                <w:kern w:val="44"/>
                <w:sz w:val="24"/>
                <w:szCs w:val="24"/>
                <w:lang w:val="en-US" w:eastAsia="zh-CN"/>
              </w:rPr>
            </w:pPr>
            <w:r>
              <w:rPr>
                <w:rFonts w:hint="default" w:ascii="Times New Roman" w:hAnsi="Times New Roman" w:eastAsia="宋体" w:cs="Times New Roman"/>
                <w:b/>
                <w:color w:val="auto"/>
                <w:kern w:val="44"/>
                <w:sz w:val="24"/>
                <w:szCs w:val="24"/>
              </w:rPr>
              <w:t>4、项目主要生产设备</w:t>
            </w:r>
          </w:p>
          <w:p>
            <w:pPr>
              <w:bidi w:val="0"/>
              <w:spacing w:line="360" w:lineRule="auto"/>
              <w:rPr>
                <w:rFonts w:hint="eastAsia" w:eastAsia="宋体"/>
                <w:color w:val="auto"/>
                <w:lang w:eastAsia="zh-CN"/>
              </w:rPr>
            </w:pPr>
            <w:bookmarkStart w:id="3" w:name="_Toc111734197"/>
            <w:r>
              <w:rPr>
                <w:rFonts w:hint="default" w:ascii="Times New Roman" w:hAnsi="Times New Roman" w:eastAsia="宋体" w:cs="Times New Roman"/>
                <w:color w:val="auto"/>
                <w:sz w:val="24"/>
                <w:szCs w:val="24"/>
              </w:rPr>
              <w:t>本项目主要设备如下表所示</w:t>
            </w:r>
            <w:bookmarkEnd w:id="3"/>
            <w:r>
              <w:rPr>
                <w:rFonts w:hint="eastAsia" w:ascii="Times New Roman" w:hAnsi="Times New Roman" w:eastAsia="宋体" w:cs="Times New Roman"/>
                <w:color w:val="auto"/>
                <w:sz w:val="24"/>
                <w:szCs w:val="24"/>
                <w:lang w:eastAsia="zh-CN"/>
              </w:rPr>
              <w:t>。</w:t>
            </w:r>
          </w:p>
          <w:p>
            <w:pPr>
              <w:numPr>
                <w:ilvl w:val="0"/>
                <w:numId w:val="0"/>
              </w:numPr>
              <w:tabs>
                <w:tab w:val="left" w:pos="0"/>
              </w:tabs>
              <w:adjustRightInd w:val="0"/>
              <w:snapToGrid w:val="0"/>
              <w:spacing w:line="240" w:lineRule="auto"/>
              <w:ind w:left="403" w:leftChars="0"/>
              <w:jc w:val="center"/>
              <w:rPr>
                <w:rFonts w:hint="default" w:ascii="Times New Roman" w:hAnsi="Times New Roman" w:eastAsia="宋体" w:cs="Times New Roman"/>
                <w:b/>
                <w:color w:val="auto"/>
                <w:kern w:val="44"/>
                <w:szCs w:val="21"/>
                <w:lang w:val="zh-CN"/>
              </w:rPr>
            </w:pPr>
            <w:r>
              <w:rPr>
                <w:rFonts w:hint="eastAsia" w:ascii="Times New Roman" w:hAnsi="Times New Roman" w:eastAsia="宋体" w:cs="Times New Roman"/>
                <w:b/>
                <w:color w:val="auto"/>
                <w:kern w:val="44"/>
                <w:szCs w:val="21"/>
                <w:lang w:val="zh-CN" w:eastAsia="zh-CN"/>
              </w:rPr>
              <w:t>表</w:t>
            </w:r>
            <w:r>
              <w:rPr>
                <w:rFonts w:hint="eastAsia" w:ascii="Times New Roman" w:hAnsi="Times New Roman" w:eastAsia="宋体" w:cs="Times New Roman"/>
                <w:b/>
                <w:color w:val="auto"/>
                <w:kern w:val="44"/>
                <w:szCs w:val="21"/>
                <w:lang w:val="en-US" w:eastAsia="zh-CN"/>
              </w:rPr>
              <w:t xml:space="preserve">2-3 </w:t>
            </w:r>
            <w:r>
              <w:rPr>
                <w:rFonts w:hint="eastAsia" w:ascii="Times New Roman" w:hAnsi="Times New Roman" w:eastAsia="宋体" w:cs="Times New Roman"/>
                <w:b/>
                <w:color w:val="auto"/>
                <w:kern w:val="44"/>
                <w:szCs w:val="21"/>
                <w:lang w:val="zh-CN"/>
              </w:rPr>
              <w:t>项目主要设备、设施</w:t>
            </w:r>
            <w:r>
              <w:rPr>
                <w:rFonts w:hint="default" w:ascii="Times New Roman" w:hAnsi="Times New Roman" w:eastAsia="宋体" w:cs="Times New Roman"/>
                <w:b/>
                <w:color w:val="auto"/>
                <w:kern w:val="44"/>
                <w:szCs w:val="21"/>
                <w:lang w:val="zh-CN"/>
              </w:rPr>
              <w:t>一览表</w:t>
            </w:r>
          </w:p>
          <w:tbl>
            <w:tblPr>
              <w:tblStyle w:val="57"/>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322"/>
              <w:gridCol w:w="2089"/>
              <w:gridCol w:w="2271"/>
              <w:gridCol w:w="940"/>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132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主要生产单元名称</w:t>
                  </w:r>
                </w:p>
              </w:tc>
              <w:tc>
                <w:tcPr>
                  <w:tcW w:w="20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设备名称</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规格型号</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数量/台</w:t>
                  </w:r>
                </w:p>
              </w:tc>
              <w:tc>
                <w:tcPr>
                  <w:tcW w:w="16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32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工艺流程主要生产设备</w:t>
                  </w:r>
                </w:p>
              </w:tc>
              <w:tc>
                <w:tcPr>
                  <w:tcW w:w="20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原料料斗</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50方/6500×4000×6200 (长×宽×高)</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161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三产品共用设备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color w:val="000000" w:themeColor="text1"/>
                      <w:szCs w:val="21"/>
                      <w:lang w:eastAsia="zh-CN"/>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进料仓</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50方/4000×4000×8400 (长×宽×高)</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1618"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斗式提升机</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500型/提升量40t/h，h=12m</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1618"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heme="minorEastAsia" w:hAnsiTheme="minorEastAsia"/>
                      <w:color w:val="000000" w:themeColor="text1"/>
                      <w:szCs w:val="21"/>
                      <w:lang w:eastAsia="zh-CN"/>
                      <w14:textFill>
                        <w14:solidFill>
                          <w14:schemeClr w14:val="tx1"/>
                        </w14:solidFill>
                      </w14:textFill>
                    </w:rPr>
                    <w:t>螺旋输送机</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输送量40t/h</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w:t>
                  </w:r>
                </w:p>
              </w:tc>
              <w:tc>
                <w:tcPr>
                  <w:tcW w:w="1618"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olor w:val="000000" w:themeColor="text1"/>
                      <w:szCs w:val="21"/>
                      <w:lang w:eastAsia="zh-CN"/>
                      <w14:textFill>
                        <w14:solidFill>
                          <w14:schemeClr w14:val="tx1"/>
                        </w14:solidFill>
                      </w14:textFill>
                    </w:rPr>
                  </w:pPr>
                  <w:r>
                    <w:rPr>
                      <w:rFonts w:hint="eastAsia" w:asciiTheme="minorEastAsia" w:hAnsiTheme="minorEastAsia"/>
                      <w:color w:val="000000" w:themeColor="text1"/>
                      <w:szCs w:val="21"/>
                      <w:lang w:eastAsia="zh-CN"/>
                      <w14:textFill>
                        <w14:solidFill>
                          <w14:schemeClr w14:val="tx1"/>
                        </w14:solidFill>
                      </w14:textFill>
                    </w:rPr>
                    <w:t>脉冲除尘器</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HMC-240，240 袋</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w:t>
                  </w:r>
                </w:p>
              </w:tc>
              <w:tc>
                <w:tcPr>
                  <w:tcW w:w="1618"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6</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螺杆式压缩机</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50A，6.2m3/min</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1618"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eastAsia="宋体" w:cs="Times New Roman"/>
                      <w:color w:val="000000" w:themeColor="text1"/>
                      <w:kern w:val="0"/>
                      <w:szCs w:val="21"/>
                      <w:lang w:eastAsia="zh-CN"/>
                      <w14:textFill>
                        <w14:solidFill>
                          <w14:schemeClr w14:val="tx1"/>
                        </w14:solidFill>
                      </w14:textFill>
                    </w:rPr>
                    <w:t>皮带输送机</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B800×6000mma</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w:t>
                  </w:r>
                </w:p>
              </w:tc>
              <w:tc>
                <w:tcPr>
                  <w:tcW w:w="1618"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olor w:val="FF0000"/>
                      <w:szCs w:val="21"/>
                      <w:lang w:eastAsia="zh-CN"/>
                    </w:rPr>
                  </w:pPr>
                  <w:r>
                    <w:rPr>
                      <w:rFonts w:hint="eastAsia" w:asciiTheme="minorEastAsia" w:hAnsiTheme="minorEastAsia"/>
                      <w:color w:val="FF0000"/>
                      <w:szCs w:val="21"/>
                      <w:lang w:eastAsia="zh-CN"/>
                    </w:rPr>
                    <w:t>成品罐（均自带布袋除尘设备）</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300 吨/Φ5700mm</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 w:val="21"/>
                      <w:szCs w:val="21"/>
                      <w:vertAlign w:val="baseline"/>
                      <w:lang w:val="en-US" w:eastAsia="zh-CN"/>
                    </w:rPr>
                    <w:t>高度1650 0mm</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8</w:t>
                  </w:r>
                </w:p>
              </w:tc>
              <w:tc>
                <w:tcPr>
                  <w:tcW w:w="1618"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heme="minorEastAsia" w:hAnsiTheme="minorEastAsia" w:eastAsiaTheme="minorEastAsia"/>
                      <w:color w:val="000000" w:themeColor="text1"/>
                      <w:szCs w:val="21"/>
                      <w:lang w:val="en-US" w:eastAsia="zh-CN"/>
                      <w14:textFill>
                        <w14:solidFill>
                          <w14:schemeClr w14:val="tx1"/>
                        </w14:solidFill>
                      </w14:textFill>
                    </w:rPr>
                  </w:pPr>
                  <w:r>
                    <w:rPr>
                      <w:rFonts w:hint="eastAsia" w:asciiTheme="minorEastAsia" w:hAnsiTheme="minorEastAsia"/>
                      <w:color w:val="000000" w:themeColor="text1"/>
                      <w:szCs w:val="21"/>
                      <w:lang w:val="en-US" w:eastAsia="zh-CN"/>
                      <w14:textFill>
                        <w14:solidFill>
                          <w14:schemeClr w14:val="tx1"/>
                        </w14:solidFill>
                      </w14:textFill>
                    </w:rPr>
                    <w:t>HD-1700A磨粉机</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HD- 1700A</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w:t>
                  </w:r>
                </w:p>
              </w:tc>
              <w:tc>
                <w:tcPr>
                  <w:tcW w:w="1618"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olor w:val="000000" w:themeColor="text1"/>
                      <w:szCs w:val="21"/>
                      <w:lang w:eastAsia="zh-CN"/>
                      <w14:textFill>
                        <w14:solidFill>
                          <w14:schemeClr w14:val="tx1"/>
                        </w14:solidFill>
                      </w14:textFill>
                    </w:rPr>
                  </w:pPr>
                  <w:r>
                    <w:rPr>
                      <w:rFonts w:hint="eastAsia" w:asciiTheme="minorEastAsia" w:hAnsiTheme="minorEastAsia"/>
                      <w:color w:val="000000" w:themeColor="text1"/>
                      <w:szCs w:val="21"/>
                      <w:lang w:eastAsia="zh-CN"/>
                      <w14:textFill>
                        <w14:solidFill>
                          <w14:schemeClr w14:val="tx1"/>
                        </w14:solidFill>
                      </w14:textFill>
                    </w:rPr>
                    <w:t>布袋除尘器</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DMC-64</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w:t>
                  </w:r>
                </w:p>
              </w:tc>
              <w:tc>
                <w:tcPr>
                  <w:tcW w:w="1618"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olor w:val="000000" w:themeColor="text1"/>
                      <w:szCs w:val="21"/>
                      <w:lang w:eastAsia="zh-CN"/>
                      <w14:textFill>
                        <w14:solidFill>
                          <w14:schemeClr w14:val="tx1"/>
                        </w14:solidFill>
                      </w14:textFill>
                    </w:rPr>
                  </w:pPr>
                  <w:r>
                    <w:rPr>
                      <w:rFonts w:hint="eastAsia" w:asciiTheme="minorEastAsia" w:hAnsiTheme="minorEastAsia"/>
                      <w:color w:val="000000" w:themeColor="text1"/>
                      <w:szCs w:val="21"/>
                      <w:lang w:eastAsia="zh-CN"/>
                      <w14:textFill>
                        <w14:solidFill>
                          <w14:schemeClr w14:val="tx1"/>
                        </w14:solidFill>
                      </w14:textFill>
                    </w:rPr>
                    <w:t>除尘雾炮击</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30型</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1618"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olor w:val="000000" w:themeColor="text1"/>
                      <w:szCs w:val="21"/>
                      <w:lang w:eastAsia="zh-CN"/>
                      <w14:textFill>
                        <w14:solidFill>
                          <w14:schemeClr w14:val="tx1"/>
                        </w14:solidFill>
                      </w14:textFill>
                    </w:rPr>
                  </w:pPr>
                  <w:r>
                    <w:rPr>
                      <w:rFonts w:hint="eastAsia" w:asciiTheme="minorEastAsia" w:hAnsiTheme="minorEastAsia"/>
                      <w:color w:val="000000" w:themeColor="text1"/>
                      <w:szCs w:val="21"/>
                      <w:lang w:eastAsia="zh-CN"/>
                      <w14:textFill>
                        <w14:solidFill>
                          <w14:schemeClr w14:val="tx1"/>
                        </w14:solidFill>
                      </w14:textFill>
                    </w:rPr>
                    <w:t>自动打包机</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DQL-6050PEH</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161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13</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olor w:val="000000" w:themeColor="text1"/>
                      <w:szCs w:val="21"/>
                      <w:lang w:eastAsia="zh-CN"/>
                      <w14:textFill>
                        <w14:solidFill>
                          <w14:schemeClr w14:val="tx1"/>
                        </w14:solidFill>
                      </w14:textFill>
                    </w:rPr>
                  </w:pPr>
                  <w:r>
                    <w:rPr>
                      <w:rFonts w:hint="eastAsia" w:asciiTheme="minorEastAsia" w:hAnsiTheme="minorEastAsia"/>
                      <w:color w:val="000000" w:themeColor="text1"/>
                      <w:szCs w:val="21"/>
                      <w:lang w:eastAsia="zh-CN"/>
                      <w14:textFill>
                        <w14:solidFill>
                          <w14:schemeClr w14:val="tx1"/>
                        </w14:solidFill>
                      </w14:textFill>
                    </w:rPr>
                    <w:t>鄂式破碎机</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PE250*400,40t/h</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161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经天然石膏破碎用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14</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olor w:val="000000" w:themeColor="text1"/>
                      <w:szCs w:val="21"/>
                      <w:lang w:eastAsia="zh-CN"/>
                      <w14:textFill>
                        <w14:solidFill>
                          <w14:schemeClr w14:val="tx1"/>
                        </w14:solidFill>
                      </w14:textFill>
                    </w:rPr>
                  </w:pPr>
                  <w:r>
                    <w:rPr>
                      <w:rFonts w:hint="eastAsia" w:asciiTheme="minorEastAsia" w:hAnsiTheme="minorEastAsia"/>
                      <w:color w:val="000000" w:themeColor="text1"/>
                      <w:szCs w:val="21"/>
                      <w:lang w:eastAsia="zh-CN"/>
                      <w14:textFill>
                        <w14:solidFill>
                          <w14:schemeClr w14:val="tx1"/>
                        </w14:solidFill>
                      </w14:textFill>
                    </w:rPr>
                    <w:t>锤式破碎机</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2PC600*400，40t/h</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161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15</w:t>
                  </w:r>
                </w:p>
              </w:tc>
              <w:tc>
                <w:tcPr>
                  <w:tcW w:w="1322" w:type="dxa"/>
                  <w:vMerge w:val="restart"/>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其他辅助生产设备</w:t>
                  </w:r>
                </w:p>
              </w:tc>
              <w:tc>
                <w:tcPr>
                  <w:tcW w:w="20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装载机</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 w:val="21"/>
                      <w:szCs w:val="21"/>
                      <w:vertAlign w:val="baseline"/>
                      <w:lang w:val="en-US" w:eastAsia="zh-CN"/>
                    </w:rPr>
                    <w:t>5吨</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16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1"/>
                      <w:szCs w:val="21"/>
                      <w:lang w:val="en-US" w:eastAsia="zh-CN" w:bidi="ar-SA"/>
                    </w:rPr>
                    <w:t>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color w:val="auto"/>
                      <w:szCs w:val="21"/>
                      <w:lang w:eastAsia="zh-CN"/>
                    </w:rPr>
                  </w:pPr>
                </w:p>
              </w:tc>
              <w:tc>
                <w:tcPr>
                  <w:tcW w:w="20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叉车</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 w:val="21"/>
                      <w:szCs w:val="21"/>
                      <w:vertAlign w:val="baseline"/>
                      <w:lang w:val="en-US" w:eastAsia="zh-CN"/>
                    </w:rPr>
                    <w:t>3吨，4.5m</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16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color w:val="auto"/>
                      <w:szCs w:val="21"/>
                      <w:lang w:eastAsia="zh-CN"/>
                    </w:rPr>
                  </w:pPr>
                </w:p>
              </w:tc>
              <w:tc>
                <w:tcPr>
                  <w:tcW w:w="20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储气罐</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sz w:val="21"/>
                      <w:szCs w:val="21"/>
                      <w:vertAlign w:val="baseline"/>
                      <w:lang w:val="en-US" w:eastAsia="zh-CN"/>
                    </w:rPr>
                    <w:t>1m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,084MPa</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c>
                <w:tcPr>
                  <w:tcW w:w="16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1322"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60" w:beforeLines="25" w:after="60" w:afterLines="25"/>
                    <w:jc w:val="center"/>
                    <w:rPr>
                      <w:rFonts w:hint="eastAsia" w:ascii="Times New Roman" w:hAnsi="Times New Roman" w:eastAsia="宋体" w:cs="Times New Roman"/>
                      <w:color w:val="auto"/>
                      <w:szCs w:val="21"/>
                      <w:lang w:eastAsia="zh-CN"/>
                    </w:rPr>
                  </w:pPr>
                </w:p>
              </w:tc>
              <w:tc>
                <w:tcPr>
                  <w:tcW w:w="20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地磅</w:t>
                  </w:r>
                </w:p>
              </w:tc>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sz w:val="21"/>
                      <w:szCs w:val="21"/>
                      <w:vertAlign w:val="baseline"/>
                      <w:lang w:val="en-US" w:eastAsia="zh-CN"/>
                    </w:rPr>
                    <w:t>3*16m</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c>
                <w:tcPr>
                  <w:tcW w:w="16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称重</w:t>
                  </w:r>
                </w:p>
              </w:tc>
            </w:tr>
          </w:tbl>
          <w:p>
            <w:pPr>
              <w:adjustRightInd w:val="0"/>
              <w:snapToGrid w:val="0"/>
              <w:spacing w:line="360" w:lineRule="auto"/>
              <w:ind w:firstLine="480" w:firstLineChars="200"/>
              <w:rPr>
                <w:rFonts w:hint="eastAsia" w:ascii="Times New Roman" w:hAnsi="Times New Roman" w:eastAsia="宋体" w:cs="Times New Roman"/>
                <w:bCs/>
                <w:color w:val="FF0000"/>
                <w:kern w:val="44"/>
                <w:sz w:val="24"/>
                <w:szCs w:val="24"/>
                <w:lang w:val="en-US" w:eastAsia="zh-CN"/>
              </w:rPr>
            </w:pPr>
            <w:r>
              <w:rPr>
                <w:rFonts w:hint="eastAsia" w:ascii="Times New Roman" w:hAnsi="Times New Roman" w:eastAsia="宋体" w:cs="Times New Roman"/>
                <w:bCs/>
                <w:color w:val="000000" w:themeColor="text1"/>
                <w:kern w:val="44"/>
                <w:sz w:val="24"/>
                <w:szCs w:val="24"/>
                <w:lang w:eastAsia="zh-CN"/>
                <w14:textFill>
                  <w14:solidFill>
                    <w14:schemeClr w14:val="tx1"/>
                  </w14:solidFill>
                </w14:textFill>
              </w:rPr>
              <w:t>本项目年工作</w:t>
            </w:r>
            <w:r>
              <w:rPr>
                <w:rFonts w:hint="eastAsia" w:ascii="Times New Roman" w:hAnsi="Times New Roman" w:eastAsia="宋体" w:cs="Times New Roman"/>
                <w:bCs/>
                <w:color w:val="000000" w:themeColor="text1"/>
                <w:kern w:val="44"/>
                <w:sz w:val="24"/>
                <w:szCs w:val="24"/>
                <w:lang w:val="en-US" w:eastAsia="zh-CN"/>
                <w14:textFill>
                  <w14:solidFill>
                    <w14:schemeClr w14:val="tx1"/>
                  </w14:solidFill>
                </w14:textFill>
              </w:rPr>
              <w:t>300天，每天2班，每班8小时，年工作时间4800h。项目生产过程中输送原材料的螺旋输送机共4台，每台输送原材料速度为40t/h，则年螺旋输送机输送原材料量为76.8万吨。项目预计年处理氟石膏25万吨、天然石膏8万吨，石灰石18万吨总计为51万吨，小于螺旋输送机输送原材料数量，故项目设备符合年输送51万吨原料要求。</w:t>
            </w:r>
          </w:p>
          <w:p>
            <w:pPr>
              <w:adjustRightInd w:val="0"/>
              <w:snapToGrid w:val="0"/>
              <w:spacing w:line="360" w:lineRule="auto"/>
              <w:ind w:firstLine="480" w:firstLineChars="200"/>
              <w:rPr>
                <w:rFonts w:hint="eastAsia" w:ascii="Times New Roman" w:hAnsi="Times New Roman" w:eastAsia="宋体" w:cs="Times New Roman"/>
                <w:bCs/>
                <w:color w:val="000000" w:themeColor="text1"/>
                <w:kern w:val="44"/>
                <w:sz w:val="24"/>
                <w:szCs w:val="24"/>
                <w:lang w:val="en-US" w:eastAsia="zh-CN"/>
                <w14:textFill>
                  <w14:solidFill>
                    <w14:schemeClr w14:val="tx1"/>
                  </w14:solidFill>
                </w14:textFill>
              </w:rPr>
            </w:pPr>
            <w:r>
              <w:rPr>
                <w:rFonts w:hint="eastAsia" w:ascii="Times New Roman" w:hAnsi="Times New Roman" w:eastAsia="宋体" w:cs="Times New Roman"/>
                <w:bCs/>
                <w:color w:val="FF0000"/>
                <w:kern w:val="44"/>
                <w:sz w:val="24"/>
                <w:szCs w:val="24"/>
                <w:lang w:val="en-US" w:eastAsia="zh-CN"/>
              </w:rPr>
              <w:t>本项目共设置两台破碎机对天然石膏大块原料进行破碎，项目破碎机每小时破碎量为34t，年工作300天，每天运行8h，年工作时间2400h。则破碎机年破碎天然石膏量为8.16万吨，大于年需破碎天然石膏量8万吨。故项目破碎机符合年破碎8万吨天然石膏的要求。</w:t>
            </w:r>
          </w:p>
          <w:p>
            <w:pPr>
              <w:adjustRightInd w:val="0"/>
              <w:snapToGrid w:val="0"/>
              <w:spacing w:line="360" w:lineRule="auto"/>
              <w:ind w:firstLine="480" w:firstLineChars="200"/>
              <w:rPr>
                <w:rFonts w:hint="default" w:ascii="Times New Roman" w:hAnsi="Times New Roman" w:eastAsia="宋体" w:cs="Times New Roman"/>
                <w:bCs/>
                <w:color w:val="000000" w:themeColor="text1"/>
                <w:kern w:val="44"/>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kern w:val="44"/>
                <w:sz w:val="24"/>
                <w:szCs w:val="24"/>
                <w:lang w:val="en-US" w:eastAsia="zh-CN"/>
                <w14:textFill>
                  <w14:solidFill>
                    <w14:schemeClr w14:val="tx1"/>
                  </w14:solidFill>
                </w14:textFill>
              </w:rPr>
              <w:t>本项目年处理氟石膏25万吨、天然石膏8万吨，石灰石18万吨总计为51万吨原料.项目共设置4台磨粉机，处理效率为28t/h。项目年运行时间为4800h，项目磨粉机年研磨原料量为53.76万吨，大于年需研磨原料量。故项目磨粉机符合年处理51万吨原料的要求。</w:t>
            </w:r>
          </w:p>
          <w:p>
            <w:pPr>
              <w:adjustRightInd w:val="0"/>
              <w:snapToGrid w:val="0"/>
              <w:spacing w:line="360" w:lineRule="auto"/>
              <w:rPr>
                <w:rFonts w:hint="eastAsia" w:ascii="Times New Roman" w:hAnsi="Times New Roman" w:eastAsia="宋体" w:cs="Times New Roman"/>
                <w:b/>
                <w:color w:val="000000" w:themeColor="text1"/>
                <w:kern w:val="44"/>
                <w:sz w:val="24"/>
                <w:szCs w:val="24"/>
                <w:lang w:eastAsia="zh-CN"/>
                <w14:textFill>
                  <w14:solidFill>
                    <w14:schemeClr w14:val="tx1"/>
                  </w14:solidFill>
                </w14:textFill>
              </w:rPr>
            </w:pPr>
            <w:r>
              <w:rPr>
                <w:rFonts w:hint="default" w:ascii="Times New Roman" w:hAnsi="Times New Roman" w:eastAsia="宋体" w:cs="Times New Roman"/>
                <w:b/>
                <w:color w:val="000000" w:themeColor="text1"/>
                <w:kern w:val="44"/>
                <w:sz w:val="24"/>
                <w:szCs w:val="24"/>
                <w14:textFill>
                  <w14:solidFill>
                    <w14:schemeClr w14:val="tx1"/>
                  </w14:solidFill>
                </w14:textFill>
              </w:rPr>
              <w:t>5、项目主要原辅料</w:t>
            </w:r>
          </w:p>
          <w:p>
            <w:pPr>
              <w:adjustRightInd w:val="0"/>
              <w:snapToGrid w:val="0"/>
              <w:spacing w:line="360" w:lineRule="auto"/>
              <w:ind w:firstLine="480" w:firstLineChars="200"/>
              <w:rPr>
                <w:rFonts w:hint="default" w:ascii="Times New Roman" w:hAnsi="Times New Roman" w:eastAsia="宋体" w:cs="Times New Roman"/>
                <w:bCs/>
                <w:color w:val="000000" w:themeColor="text1"/>
                <w:kern w:val="44"/>
                <w:sz w:val="24"/>
                <w:szCs w:val="24"/>
                <w14:textFill>
                  <w14:solidFill>
                    <w14:schemeClr w14:val="tx1"/>
                  </w14:solidFill>
                </w14:textFill>
              </w:rPr>
            </w:pPr>
            <w:r>
              <w:rPr>
                <w:rFonts w:hint="default" w:ascii="Times New Roman" w:hAnsi="Times New Roman" w:eastAsia="宋体" w:cs="Times New Roman"/>
                <w:bCs/>
                <w:color w:val="000000" w:themeColor="text1"/>
                <w:kern w:val="44"/>
                <w:sz w:val="24"/>
                <w:szCs w:val="24"/>
                <w14:textFill>
                  <w14:solidFill>
                    <w14:schemeClr w14:val="tx1"/>
                  </w14:solidFill>
                </w14:textFill>
              </w:rPr>
              <w:t>本项目原辅材料用量及能源消耗情况详见</w:t>
            </w:r>
            <w:r>
              <w:rPr>
                <w:rFonts w:hint="eastAsia" w:ascii="Times New Roman" w:hAnsi="Times New Roman" w:eastAsia="宋体" w:cs="Times New Roman"/>
                <w:bCs/>
                <w:color w:val="000000" w:themeColor="text1"/>
                <w:kern w:val="44"/>
                <w:sz w:val="24"/>
                <w:szCs w:val="24"/>
                <w:lang w:eastAsia="zh-CN"/>
                <w14:textFill>
                  <w14:solidFill>
                    <w14:schemeClr w14:val="tx1"/>
                  </w14:solidFill>
                </w14:textFill>
              </w:rPr>
              <w:t>下表</w:t>
            </w:r>
            <w:r>
              <w:rPr>
                <w:rFonts w:hint="default" w:ascii="Times New Roman" w:hAnsi="Times New Roman" w:eastAsia="宋体" w:cs="Times New Roman"/>
                <w:bCs/>
                <w:color w:val="000000" w:themeColor="text1"/>
                <w:kern w:val="44"/>
                <w:sz w:val="24"/>
                <w:szCs w:val="24"/>
                <w14:textFill>
                  <w14:solidFill>
                    <w14:schemeClr w14:val="tx1"/>
                  </w14:solidFill>
                </w14:textFill>
              </w:rPr>
              <w:t>。</w:t>
            </w:r>
          </w:p>
          <w:p>
            <w:pPr>
              <w:numPr>
                <w:ilvl w:val="0"/>
                <w:numId w:val="0"/>
              </w:numPr>
              <w:tabs>
                <w:tab w:val="left" w:pos="0"/>
              </w:tabs>
              <w:adjustRightInd w:val="0"/>
              <w:snapToGrid w:val="0"/>
              <w:spacing w:line="240" w:lineRule="auto"/>
              <w:ind w:left="403" w:leftChars="0"/>
              <w:jc w:val="center"/>
              <w:rPr>
                <w:rFonts w:hint="default" w:ascii="Times New Roman" w:hAnsi="Times New Roman" w:eastAsia="宋体" w:cs="Times New Roman"/>
                <w:b/>
                <w:color w:val="000000" w:themeColor="text1"/>
                <w:kern w:val="44"/>
                <w:szCs w:val="21"/>
                <w:lang w:val="zh-CN"/>
                <w14:textFill>
                  <w14:solidFill>
                    <w14:schemeClr w14:val="tx1"/>
                  </w14:solidFill>
                </w14:textFill>
              </w:rPr>
            </w:pPr>
            <w:r>
              <w:rPr>
                <w:rFonts w:hint="eastAsia" w:ascii="Times New Roman" w:hAnsi="Times New Roman" w:eastAsia="宋体" w:cs="Times New Roman"/>
                <w:b/>
                <w:color w:val="000000" w:themeColor="text1"/>
                <w:kern w:val="44"/>
                <w:szCs w:val="21"/>
                <w:lang w:val="zh-CN"/>
                <w14:textFill>
                  <w14:solidFill>
                    <w14:schemeClr w14:val="tx1"/>
                  </w14:solidFill>
                </w14:textFill>
              </w:rPr>
              <w:t>表</w:t>
            </w:r>
            <w:r>
              <w:rPr>
                <w:rFonts w:hint="eastAsia" w:ascii="Times New Roman" w:hAnsi="Times New Roman" w:eastAsia="宋体" w:cs="Times New Roman"/>
                <w:b/>
                <w:color w:val="000000" w:themeColor="text1"/>
                <w:kern w:val="44"/>
                <w:szCs w:val="21"/>
                <w:lang w:val="en-US" w:eastAsia="zh-CN"/>
                <w14:textFill>
                  <w14:solidFill>
                    <w14:schemeClr w14:val="tx1"/>
                  </w14:solidFill>
                </w14:textFill>
              </w:rPr>
              <w:t xml:space="preserve">2-4 </w:t>
            </w:r>
            <w:r>
              <w:rPr>
                <w:rFonts w:hint="default" w:ascii="Times New Roman" w:hAnsi="Times New Roman" w:eastAsia="宋体" w:cs="Times New Roman"/>
                <w:b/>
                <w:color w:val="000000" w:themeColor="text1"/>
                <w:kern w:val="44"/>
                <w:szCs w:val="21"/>
                <w:lang w:val="zh-CN"/>
                <w14:textFill>
                  <w14:solidFill>
                    <w14:schemeClr w14:val="tx1"/>
                  </w14:solidFill>
                </w14:textFill>
              </w:rPr>
              <w:t>项目主要原辅材料消耗一览表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678"/>
              <w:gridCol w:w="1246"/>
              <w:gridCol w:w="2110"/>
              <w:gridCol w:w="1316"/>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1678" w:type="dxa"/>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名称</w:t>
                  </w:r>
                </w:p>
              </w:tc>
              <w:tc>
                <w:tcPr>
                  <w:tcW w:w="1246" w:type="dxa"/>
                  <w:vAlign w:val="center"/>
                </w:tcPr>
                <w:p>
                  <w:pPr>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年使用量</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/t</w:t>
                  </w:r>
                </w:p>
              </w:tc>
              <w:tc>
                <w:tcPr>
                  <w:tcW w:w="2110" w:type="dxa"/>
                  <w:vAlign w:val="center"/>
                </w:tcPr>
                <w:p>
                  <w:pPr>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场内最大储存量</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/t</w:t>
                  </w:r>
                </w:p>
              </w:tc>
              <w:tc>
                <w:tcPr>
                  <w:tcW w:w="1316" w:type="dxa"/>
                  <w:vAlign w:val="center"/>
                </w:tcPr>
                <w:p>
                  <w:pPr>
                    <w:jc w:val="center"/>
                    <w:rPr>
                      <w:rFonts w:hint="eastAsia" w:ascii="Times New Roman" w:hAnsi="Times New Roman" w:eastAsia="宋体" w:cs="Times New Roman"/>
                      <w:b/>
                      <w:bCs/>
                      <w:color w:val="000000" w:themeColor="text1"/>
                      <w:szCs w:val="21"/>
                      <w:lang w:eastAsia="zh-CN"/>
                      <w14:textFill>
                        <w14:solidFill>
                          <w14:schemeClr w14:val="tx1"/>
                        </w14:solidFill>
                      </w14:textFill>
                    </w:rPr>
                  </w:pPr>
                  <w:r>
                    <w:rPr>
                      <w:rFonts w:hint="eastAsia" w:ascii="Times New Roman" w:hAnsi="Times New Roman" w:eastAsia="宋体" w:cs="Times New Roman"/>
                      <w:b/>
                      <w:bCs/>
                      <w:color w:val="000000" w:themeColor="text1"/>
                      <w:szCs w:val="21"/>
                      <w:lang w:eastAsia="zh-CN"/>
                      <w14:textFill>
                        <w14:solidFill>
                          <w14:schemeClr w14:val="tx1"/>
                        </w14:solidFill>
                      </w14:textFill>
                    </w:rPr>
                    <w:t>来源</w:t>
                  </w:r>
                </w:p>
              </w:tc>
              <w:tc>
                <w:tcPr>
                  <w:tcW w:w="2305" w:type="dxa"/>
                  <w:vAlign w:val="center"/>
                </w:tcPr>
                <w:p>
                  <w:pPr>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w:t>
                  </w:r>
                </w:p>
              </w:tc>
              <w:tc>
                <w:tcPr>
                  <w:tcW w:w="1678" w:type="dxa"/>
                  <w:vAlign w:val="center"/>
                </w:tcPr>
                <w:p>
                  <w:pPr>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eastAsia="宋体" w:cs="Times New Roman"/>
                      <w:color w:val="000000" w:themeColor="text1"/>
                      <w:kern w:val="0"/>
                      <w:szCs w:val="21"/>
                      <w:lang w:eastAsia="zh-CN"/>
                      <w14:textFill>
                        <w14:solidFill>
                          <w14:schemeClr w14:val="tx1"/>
                        </w14:solidFill>
                      </w14:textFill>
                    </w:rPr>
                    <w:t>氟石膏</w:t>
                  </w:r>
                </w:p>
              </w:tc>
              <w:tc>
                <w:tcPr>
                  <w:tcW w:w="1246"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250000t</w:t>
                  </w:r>
                </w:p>
              </w:tc>
              <w:tc>
                <w:tcPr>
                  <w:tcW w:w="2110"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5000</w:t>
                  </w:r>
                </w:p>
              </w:tc>
              <w:tc>
                <w:tcPr>
                  <w:tcW w:w="1316"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外购</w:t>
                  </w:r>
                </w:p>
              </w:tc>
              <w:tc>
                <w:tcPr>
                  <w:tcW w:w="2305"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存于原辅料堆场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2</w:t>
                  </w:r>
                </w:p>
              </w:tc>
              <w:tc>
                <w:tcPr>
                  <w:tcW w:w="1678"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天然石膏</w:t>
                  </w:r>
                </w:p>
              </w:tc>
              <w:tc>
                <w:tcPr>
                  <w:tcW w:w="1246"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80000t</w:t>
                  </w:r>
                </w:p>
              </w:tc>
              <w:tc>
                <w:tcPr>
                  <w:tcW w:w="2110"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2000</w:t>
                  </w:r>
                </w:p>
              </w:tc>
              <w:tc>
                <w:tcPr>
                  <w:tcW w:w="1316"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外购</w:t>
                  </w:r>
                </w:p>
              </w:tc>
              <w:tc>
                <w:tcPr>
                  <w:tcW w:w="2305" w:type="dxa"/>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存于原辅料堆场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w:t>
                  </w:r>
                </w:p>
              </w:tc>
              <w:tc>
                <w:tcPr>
                  <w:tcW w:w="1678"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石灰石</w:t>
                  </w:r>
                </w:p>
              </w:tc>
              <w:tc>
                <w:tcPr>
                  <w:tcW w:w="1246"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180000t</w:t>
                  </w:r>
                </w:p>
              </w:tc>
              <w:tc>
                <w:tcPr>
                  <w:tcW w:w="2110"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3000</w:t>
                  </w:r>
                </w:p>
              </w:tc>
              <w:tc>
                <w:tcPr>
                  <w:tcW w:w="1316"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外购</w:t>
                  </w:r>
                </w:p>
              </w:tc>
              <w:tc>
                <w:tcPr>
                  <w:tcW w:w="2305"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存于原辅料堆场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w:t>
                  </w:r>
                </w:p>
              </w:tc>
              <w:tc>
                <w:tcPr>
                  <w:tcW w:w="1678" w:type="dxa"/>
                  <w:vAlign w:val="center"/>
                </w:tcPr>
                <w:p>
                  <w:pPr>
                    <w:widowControl/>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水</w:t>
                  </w:r>
                </w:p>
              </w:tc>
              <w:tc>
                <w:tcPr>
                  <w:tcW w:w="1246" w:type="dxa"/>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1268.4t</w:t>
                  </w:r>
                </w:p>
              </w:tc>
              <w:tc>
                <w:tcPr>
                  <w:tcW w:w="2110" w:type="dxa"/>
                  <w:vAlign w:val="center"/>
                </w:tcPr>
                <w:p>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1316"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w:t>
                  </w:r>
                </w:p>
              </w:tc>
              <w:tc>
                <w:tcPr>
                  <w:tcW w:w="2305"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市政提供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5</w:t>
                  </w:r>
                </w:p>
              </w:tc>
              <w:tc>
                <w:tcPr>
                  <w:tcW w:w="1678" w:type="dxa"/>
                  <w:vAlign w:val="center"/>
                </w:tcPr>
                <w:p>
                  <w:pPr>
                    <w:widowControl/>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电</w:t>
                  </w:r>
                </w:p>
              </w:tc>
              <w:tc>
                <w:tcPr>
                  <w:tcW w:w="1246" w:type="dxa"/>
                  <w:vAlign w:val="center"/>
                </w:tcPr>
                <w:p>
                  <w:pPr>
                    <w:widowControl/>
                    <w:adjustRightInd w:val="0"/>
                    <w:snapToGrid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594.22万度</w:t>
                  </w:r>
                </w:p>
              </w:tc>
              <w:tc>
                <w:tcPr>
                  <w:tcW w:w="2110"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w:t>
                  </w:r>
                </w:p>
              </w:tc>
              <w:tc>
                <w:tcPr>
                  <w:tcW w:w="1316"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w:t>
                  </w:r>
                </w:p>
              </w:tc>
              <w:tc>
                <w:tcPr>
                  <w:tcW w:w="2305" w:type="dxa"/>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市政提供</w:t>
                  </w:r>
                </w:p>
              </w:tc>
            </w:tr>
          </w:tbl>
          <w:p>
            <w:pPr>
              <w:adjustRightInd w:val="0"/>
              <w:snapToGrid w:val="0"/>
              <w:spacing w:line="360" w:lineRule="auto"/>
              <w:rPr>
                <w:rFonts w:hint="eastAsia" w:ascii="Times New Roman" w:hAnsi="Times New Roman" w:eastAsia="宋体" w:cs="Times New Roman"/>
                <w:b/>
                <w:color w:val="000000" w:themeColor="text1"/>
                <w:kern w:val="44"/>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kern w:val="44"/>
                <w:sz w:val="24"/>
                <w:szCs w:val="24"/>
                <w:lang w:val="en-US" w:eastAsia="zh-CN"/>
                <w14:textFill>
                  <w14:solidFill>
                    <w14:schemeClr w14:val="tx1"/>
                  </w14:solidFill>
                </w14:textFill>
              </w:rPr>
              <w:t>6、项目原料来源及理化性质介绍</w:t>
            </w:r>
          </w:p>
          <w:p>
            <w:pPr>
              <w:adjustRightInd w:val="0"/>
              <w:snapToGrid w:val="0"/>
              <w:spacing w:line="360" w:lineRule="auto"/>
              <w:ind w:firstLine="480" w:firstLineChars="200"/>
              <w:rPr>
                <w:rFonts w:hint="eastAsia" w:ascii="Times New Roman" w:hAnsi="Times New Roman" w:eastAsia="宋体" w:cs="Times New Roman"/>
                <w:bCs/>
                <w:color w:val="000000" w:themeColor="text1"/>
                <w:kern w:val="44"/>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kern w:val="44"/>
                <w:sz w:val="24"/>
                <w:szCs w:val="24"/>
                <w:lang w:val="en-US" w:eastAsia="zh-CN"/>
                <w14:textFill>
                  <w14:solidFill>
                    <w14:schemeClr w14:val="tx1"/>
                  </w14:solidFill>
                </w14:textFill>
              </w:rPr>
              <w:t>（1）原料来源：</w:t>
            </w:r>
          </w:p>
          <w:p>
            <w:pPr>
              <w:adjustRightInd w:val="0"/>
              <w:snapToGrid w:val="0"/>
              <w:spacing w:line="360" w:lineRule="auto"/>
              <w:ind w:firstLine="480" w:firstLineChars="200"/>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000000" w:themeColor="text1"/>
                <w:kern w:val="44"/>
                <w:sz w:val="24"/>
                <w:szCs w:val="24"/>
                <w:lang w:val="en-US" w:eastAsia="zh-CN"/>
                <w14:textFill>
                  <w14:solidFill>
                    <w14:schemeClr w14:val="tx1"/>
                  </w14:solidFill>
                </w14:textFill>
              </w:rPr>
              <w:t>本项目原料氟石膏及天然石膏收购于宜春锦越新材料有限公司；石灰石收购于高安市洪石岭采石有限公司；</w:t>
            </w:r>
            <w:r>
              <w:rPr>
                <w:rFonts w:hint="eastAsia" w:ascii="Times New Roman" w:hAnsi="Times New Roman" w:eastAsia="宋体" w:cs="Times New Roman"/>
                <w:bCs/>
                <w:color w:val="FF0000"/>
                <w:kern w:val="44"/>
                <w:sz w:val="24"/>
                <w:szCs w:val="24"/>
                <w:lang w:val="en-US" w:eastAsia="zh-CN"/>
              </w:rPr>
              <w:t>其中氟石膏宜春锦越新材料有限公司外售的氟石膏收购于福建永晶科技股份有限公司。</w:t>
            </w:r>
            <w:r>
              <w:rPr>
                <w:rFonts w:hint="eastAsia" w:ascii="Times New Roman" w:hAnsi="Times New Roman" w:eastAsia="宋体" w:cs="Times New Roman"/>
                <w:bCs/>
                <w:color w:val="auto"/>
                <w:kern w:val="44"/>
                <w:sz w:val="24"/>
                <w:szCs w:val="24"/>
                <w:lang w:val="en-US" w:eastAsia="zh-CN"/>
              </w:rPr>
              <w:t>氟石膏、天然石膏及石灰石购置协议及预售合同详见附件五、附件六。</w:t>
            </w:r>
          </w:p>
          <w:p>
            <w:pPr>
              <w:adjustRightInd w:val="0"/>
              <w:snapToGrid w:val="0"/>
              <w:spacing w:line="360" w:lineRule="auto"/>
              <w:ind w:firstLine="480" w:firstLineChars="200"/>
              <w:rPr>
                <w:rFonts w:hint="eastAsia" w:ascii="Times New Roman" w:hAnsi="Times New Roman" w:eastAsia="宋体" w:cs="Times New Roman"/>
                <w:bCs/>
                <w:color w:val="FF0000"/>
                <w:kern w:val="44"/>
                <w:sz w:val="24"/>
                <w:szCs w:val="24"/>
                <w:lang w:val="en-US" w:eastAsia="zh-CN"/>
              </w:rPr>
            </w:pPr>
            <w:r>
              <w:rPr>
                <w:rFonts w:hint="eastAsia" w:ascii="Times New Roman" w:hAnsi="Times New Roman" w:eastAsia="宋体" w:cs="Times New Roman"/>
                <w:bCs/>
                <w:color w:val="FF0000"/>
                <w:kern w:val="44"/>
                <w:sz w:val="24"/>
                <w:szCs w:val="24"/>
                <w:lang w:val="en-US" w:eastAsia="zh-CN"/>
              </w:rPr>
              <w:t>项目氟石膏原料为福建永晶科技股份有限公司通过萤石和浓硫酸制取氢氟酸后产生的工业废物，制取氢氟酸后产生的氟石膏因热量过高在冷却过程中不断蒸发水分，使得原料中含水率小于1%，氟石膏原料为干粉料，堆放过程中不会产生渗滤液。氟石膏在冷却过程中出售方会喷洒试剂中和原料pH值达到中性。根据福建永晶科技股份有限公司出具的相关文件可知本项目氟石膏原料不属于危险固废。氟石膏不属于危险废物证明文件详见附件七。</w:t>
            </w:r>
          </w:p>
          <w:p>
            <w:pPr>
              <w:adjustRightInd w:val="0"/>
              <w:snapToGrid w:val="0"/>
              <w:spacing w:line="360" w:lineRule="auto"/>
              <w:ind w:firstLine="480" w:firstLineChars="200"/>
              <w:rPr>
                <w:rFonts w:hint="eastAsia" w:ascii="Times New Roman" w:hAnsi="Times New Roman" w:eastAsia="宋体" w:cs="Times New Roman"/>
                <w:bCs/>
                <w:color w:val="000000" w:themeColor="text1"/>
                <w:kern w:val="44"/>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kern w:val="44"/>
                <w:sz w:val="24"/>
                <w:szCs w:val="24"/>
                <w:lang w:val="en-US" w:eastAsia="zh-CN"/>
                <w14:textFill>
                  <w14:solidFill>
                    <w14:schemeClr w14:val="tx1"/>
                  </w14:solidFill>
                </w14:textFill>
              </w:rPr>
              <w:t>（2）理化性质：</w:t>
            </w:r>
          </w:p>
          <w:p>
            <w:pPr>
              <w:adjustRightInd w:val="0"/>
              <w:snapToGrid w:val="0"/>
              <w:spacing w:line="360" w:lineRule="auto"/>
              <w:ind w:firstLine="480" w:firstLineChars="200"/>
              <w:rPr>
                <w:rFonts w:hint="eastAsia" w:ascii="Times New Roman" w:hAnsi="Times New Roman" w:eastAsia="宋体" w:cs="Times New Roman"/>
                <w:bCs/>
                <w:color w:val="000000" w:themeColor="text1"/>
                <w:kern w:val="44"/>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kern w:val="44"/>
                <w:sz w:val="24"/>
                <w:szCs w:val="24"/>
                <w:lang w:val="en-US" w:eastAsia="zh-CN"/>
                <w14:textFill>
                  <w14:solidFill>
                    <w14:schemeClr w14:val="tx1"/>
                  </w14:solidFill>
                </w14:textFill>
              </w:rPr>
              <w:t>1）氟石膏：为白色结晶状物质，具有良好的化学稳定性和物理稳定性，具有卓越的防火、隔热、保温能功效。广泛用于建筑、地铁、隧道等领域。</w:t>
            </w:r>
          </w:p>
          <w:p>
            <w:pPr>
              <w:adjustRightInd w:val="0"/>
              <w:snapToGrid w:val="0"/>
              <w:spacing w:line="360" w:lineRule="auto"/>
              <w:ind w:firstLine="480" w:firstLineChars="200"/>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000000" w:themeColor="text1"/>
                <w:kern w:val="44"/>
                <w:sz w:val="24"/>
                <w:szCs w:val="24"/>
                <w:lang w:val="en-US" w:eastAsia="zh-CN"/>
                <w14:textFill>
                  <w14:solidFill>
                    <w14:schemeClr w14:val="tx1"/>
                  </w14:solidFill>
                </w14:textFill>
              </w:rPr>
              <w:t>2）</w:t>
            </w:r>
            <w:r>
              <w:rPr>
                <w:rFonts w:hint="eastAsia" w:ascii="Times New Roman" w:hAnsi="Times New Roman" w:eastAsia="宋体" w:cs="Times New Roman"/>
                <w:bCs/>
                <w:color w:val="auto"/>
                <w:kern w:val="44"/>
                <w:sz w:val="24"/>
                <w:szCs w:val="24"/>
                <w:lang w:val="en-US" w:eastAsia="zh-CN"/>
              </w:rPr>
              <w:t>天然石膏：为单斜晶体，呈板状或纤维状，也有细粒块状的，呈淡灰、微红、浅黄或浅蓝色。是一种用途广泛的工业材料和建筑材料。</w:t>
            </w:r>
          </w:p>
          <w:p>
            <w:pPr>
              <w:adjustRightInd w:val="0"/>
              <w:snapToGrid w:val="0"/>
              <w:spacing w:line="360" w:lineRule="auto"/>
              <w:ind w:firstLine="480" w:firstLineChars="200"/>
              <w:rPr>
                <w:rFonts w:hint="eastAsia"/>
                <w:color w:val="auto"/>
                <w:lang w:val="en-US" w:eastAsia="zh-CN"/>
              </w:rPr>
            </w:pPr>
            <w:r>
              <w:rPr>
                <w:rFonts w:hint="eastAsia" w:ascii="Times New Roman" w:hAnsi="Times New Roman" w:eastAsia="宋体" w:cs="Times New Roman"/>
                <w:bCs/>
                <w:color w:val="auto"/>
                <w:kern w:val="44"/>
                <w:sz w:val="24"/>
                <w:szCs w:val="24"/>
                <w:lang w:val="en-US" w:eastAsia="zh-CN"/>
              </w:rPr>
              <w:t>3）石灰石：以CaO为主要成分的气硬性无机胶凝材料，生石灰呈白色或灰色块状。</w:t>
            </w:r>
          </w:p>
          <w:p>
            <w:pPr>
              <w:numPr>
                <w:ilvl w:val="0"/>
                <w:numId w:val="0"/>
              </w:numPr>
              <w:tabs>
                <w:tab w:val="left" w:pos="0"/>
              </w:tabs>
              <w:adjustRightInd w:val="0"/>
              <w:snapToGrid w:val="0"/>
              <w:spacing w:line="240" w:lineRule="auto"/>
              <w:ind w:left="403" w:leftChars="0"/>
              <w:jc w:val="center"/>
              <w:rPr>
                <w:rFonts w:hint="eastAsia" w:ascii="Times New Roman" w:hAnsi="Times New Roman" w:eastAsia="宋体" w:cs="Times New Roman"/>
                <w:b/>
                <w:color w:val="auto"/>
                <w:kern w:val="44"/>
                <w:szCs w:val="21"/>
                <w:lang w:val="en-US" w:eastAsia="zh-CN"/>
              </w:rPr>
            </w:pPr>
            <w:r>
              <w:rPr>
                <w:rFonts w:hint="eastAsia" w:ascii="Times New Roman" w:hAnsi="Times New Roman" w:eastAsia="宋体" w:cs="Times New Roman"/>
                <w:b/>
                <w:color w:val="auto"/>
                <w:kern w:val="44"/>
                <w:szCs w:val="21"/>
                <w:lang w:val="en-US" w:eastAsia="zh-CN"/>
              </w:rPr>
              <w:t>表2-5原材料主要化学成分表（%）</w:t>
            </w:r>
          </w:p>
          <w:tbl>
            <w:tblPr>
              <w:tblStyle w:val="58"/>
              <w:tblW w:w="9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037"/>
              <w:gridCol w:w="1037"/>
              <w:gridCol w:w="1037"/>
              <w:gridCol w:w="1038"/>
              <w:gridCol w:w="1038"/>
              <w:gridCol w:w="1038"/>
              <w:gridCol w:w="1038"/>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8" w:type="dxa"/>
                  <w:gridSpan w:val="9"/>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氟石膏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SO</w:t>
                  </w:r>
                  <w:r>
                    <w:rPr>
                      <w:rFonts w:hint="eastAsia" w:ascii="Times New Roman" w:hAnsi="Times New Roman" w:eastAsia="宋体" w:cs="Times New Roman"/>
                      <w:b/>
                      <w:color w:val="FF0000"/>
                      <w:kern w:val="44"/>
                      <w:szCs w:val="21"/>
                      <w:vertAlign w:val="subscript"/>
                      <w:lang w:val="en-US" w:eastAsia="zh-CN"/>
                    </w:rPr>
                    <w:t>3</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CaO</w:t>
                  </w:r>
                </w:p>
              </w:tc>
              <w:tc>
                <w:tcPr>
                  <w:tcW w:w="1037" w:type="dxa"/>
                </w:tcPr>
                <w:p>
                  <w:pPr>
                    <w:numPr>
                      <w:ilvl w:val="0"/>
                      <w:numId w:val="0"/>
                    </w:numPr>
                    <w:tabs>
                      <w:tab w:val="left" w:pos="0"/>
                    </w:tabs>
                    <w:adjustRightInd w:val="0"/>
                    <w:snapToGrid w:val="0"/>
                    <w:spacing w:line="240" w:lineRule="auto"/>
                    <w:jc w:val="center"/>
                    <w:rPr>
                      <w:rFonts w:hint="default"/>
                      <w:color w:val="FF0000"/>
                      <w:lang w:val="en-US" w:eastAsia="zh-CN"/>
                    </w:rPr>
                  </w:pPr>
                  <w:r>
                    <w:rPr>
                      <w:rFonts w:hint="eastAsia" w:ascii="Times New Roman" w:hAnsi="Times New Roman" w:eastAsia="宋体" w:cs="Times New Roman"/>
                      <w:b/>
                      <w:color w:val="FF0000"/>
                      <w:kern w:val="44"/>
                      <w:szCs w:val="21"/>
                      <w:vertAlign w:val="baseline"/>
                      <w:lang w:val="en-US" w:eastAsia="zh-CN"/>
                    </w:rPr>
                    <w:t>F</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SiO</w:t>
                  </w:r>
                  <w:r>
                    <w:rPr>
                      <w:rFonts w:hint="eastAsia" w:ascii="Times New Roman" w:hAnsi="Times New Roman" w:eastAsia="宋体" w:cs="Times New Roman"/>
                      <w:b/>
                      <w:color w:val="FF0000"/>
                      <w:kern w:val="44"/>
                      <w:szCs w:val="21"/>
                      <w:vertAlign w:val="subscript"/>
                      <w:lang w:val="en-US" w:eastAsia="zh-CN"/>
                    </w:rPr>
                    <w:t>2</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Al</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r>
                    <w:rPr>
                      <w:rFonts w:hint="eastAsia" w:ascii="Times New Roman" w:hAnsi="Times New Roman" w:eastAsia="宋体" w:cs="Times New Roman"/>
                      <w:b/>
                      <w:color w:val="FF0000"/>
                      <w:kern w:val="44"/>
                      <w:szCs w:val="21"/>
                      <w:vertAlign w:val="subscript"/>
                      <w:lang w:val="en-US" w:eastAsia="zh-CN"/>
                    </w:rPr>
                    <w:t>3</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Fe</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r>
                    <w:rPr>
                      <w:rFonts w:hint="eastAsia" w:ascii="Times New Roman" w:hAnsi="Times New Roman" w:eastAsia="宋体" w:cs="Times New Roman"/>
                      <w:b/>
                      <w:color w:val="FF0000"/>
                      <w:kern w:val="44"/>
                      <w:szCs w:val="21"/>
                      <w:vertAlign w:val="subscript"/>
                      <w:lang w:val="en-US" w:eastAsia="zh-CN"/>
                    </w:rPr>
                    <w:t>3</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MgO</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BaO</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K</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53.62</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44.4</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0.74</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0.33</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0.271</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0.183</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0.169</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0.137</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ZnO</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PbO</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WO</w:t>
                  </w:r>
                  <w:r>
                    <w:rPr>
                      <w:rFonts w:hint="eastAsia" w:ascii="Times New Roman" w:hAnsi="Times New Roman" w:eastAsia="宋体" w:cs="Times New Roman"/>
                      <w:b/>
                      <w:color w:val="FF0000"/>
                      <w:kern w:val="44"/>
                      <w:szCs w:val="21"/>
                      <w:vertAlign w:val="subscript"/>
                      <w:lang w:val="en-US" w:eastAsia="zh-CN"/>
                    </w:rPr>
                    <w:t>3</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SrO</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MnO</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TiO</w:t>
                  </w:r>
                  <w:r>
                    <w:rPr>
                      <w:rFonts w:hint="eastAsia" w:ascii="Times New Roman" w:hAnsi="Times New Roman" w:eastAsia="宋体" w:cs="Times New Roman"/>
                      <w:b/>
                      <w:color w:val="FF0000"/>
                      <w:kern w:val="44"/>
                      <w:szCs w:val="21"/>
                      <w:vertAlign w:val="subscript"/>
                      <w:lang w:val="en-US" w:eastAsia="zh-CN"/>
                    </w:rPr>
                    <w:t>2</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CuO</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Y</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r>
                    <w:rPr>
                      <w:rFonts w:hint="eastAsia" w:ascii="Times New Roman" w:hAnsi="Times New Roman" w:eastAsia="宋体" w:cs="Times New Roman"/>
                      <w:b/>
                      <w:color w:val="FF0000"/>
                      <w:kern w:val="44"/>
                      <w:szCs w:val="21"/>
                      <w:vertAlign w:val="subscript"/>
                      <w:lang w:val="en-US" w:eastAsia="zh-CN"/>
                    </w:rPr>
                    <w:t>3</w:t>
                  </w: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0.0378</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0.0168</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0.014</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0.0133</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0.013</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0.011</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0.005</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0.004</w:t>
                  </w: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8" w:type="dxa"/>
                  <w:gridSpan w:val="9"/>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天然石膏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SO</w:t>
                  </w:r>
                  <w:r>
                    <w:rPr>
                      <w:rFonts w:hint="eastAsia" w:ascii="Times New Roman" w:hAnsi="Times New Roman" w:eastAsia="宋体" w:cs="Times New Roman"/>
                      <w:b/>
                      <w:color w:val="FF0000"/>
                      <w:kern w:val="44"/>
                      <w:szCs w:val="21"/>
                      <w:vertAlign w:val="subscript"/>
                      <w:lang w:val="en-US" w:eastAsia="zh-CN"/>
                    </w:rPr>
                    <w:t>3</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CaO</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SiO</w:t>
                  </w:r>
                  <w:r>
                    <w:rPr>
                      <w:rFonts w:hint="eastAsia" w:ascii="Times New Roman" w:hAnsi="Times New Roman" w:eastAsia="宋体" w:cs="Times New Roman"/>
                      <w:b/>
                      <w:color w:val="FF0000"/>
                      <w:kern w:val="44"/>
                      <w:szCs w:val="21"/>
                      <w:vertAlign w:val="subscript"/>
                      <w:lang w:val="en-US" w:eastAsia="zh-CN"/>
                    </w:rPr>
                    <w:t>2</w:t>
                  </w: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MgO</w:t>
                  </w: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SrO</w:t>
                  </w: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Al</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r>
                    <w:rPr>
                      <w:rFonts w:hint="eastAsia" w:ascii="Times New Roman" w:hAnsi="Times New Roman" w:eastAsia="宋体" w:cs="Times New Roman"/>
                      <w:b/>
                      <w:color w:val="FF0000"/>
                      <w:kern w:val="44"/>
                      <w:szCs w:val="21"/>
                      <w:vertAlign w:val="subscript"/>
                      <w:lang w:val="en-US" w:eastAsia="zh-CN"/>
                    </w:rPr>
                    <w:t>3</w:t>
                  </w: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Fe</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r>
                    <w:rPr>
                      <w:rFonts w:hint="eastAsia" w:ascii="Times New Roman" w:hAnsi="Times New Roman" w:eastAsia="宋体" w:cs="Times New Roman"/>
                      <w:b/>
                      <w:color w:val="FF0000"/>
                      <w:kern w:val="44"/>
                      <w:szCs w:val="21"/>
                      <w:vertAlign w:val="subscript"/>
                      <w:lang w:val="en-US" w:eastAsia="zh-CN"/>
                    </w:rPr>
                    <w:t>3</w:t>
                  </w: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K</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54.09</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44.2</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0.774</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0.56</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0.1313</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0.115</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0.0868</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0.026</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CuO</w:t>
                  </w: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0.005</w:t>
                  </w: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8" w:type="dxa"/>
                  <w:gridSpan w:val="9"/>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石灰石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SiO</w:t>
                  </w:r>
                  <w:r>
                    <w:rPr>
                      <w:rFonts w:hint="eastAsia" w:ascii="Times New Roman" w:hAnsi="Times New Roman" w:eastAsia="宋体" w:cs="Times New Roman"/>
                      <w:b/>
                      <w:color w:val="FF0000"/>
                      <w:kern w:val="44"/>
                      <w:szCs w:val="21"/>
                      <w:vertAlign w:val="subscript"/>
                      <w:lang w:val="en-US" w:eastAsia="zh-CN"/>
                    </w:rPr>
                    <w:t>2</w:t>
                  </w: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Al</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r>
                    <w:rPr>
                      <w:rFonts w:hint="eastAsia" w:ascii="Times New Roman" w:hAnsi="Times New Roman" w:eastAsia="宋体" w:cs="Times New Roman"/>
                      <w:b/>
                      <w:color w:val="FF0000"/>
                      <w:kern w:val="44"/>
                      <w:szCs w:val="21"/>
                      <w:vertAlign w:val="subscript"/>
                      <w:lang w:val="en-US" w:eastAsia="zh-CN"/>
                    </w:rPr>
                    <w:t>3</w:t>
                  </w: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MgO</w:t>
                  </w: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CaO</w:t>
                  </w: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K</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p>
              </w:tc>
              <w:tc>
                <w:tcPr>
                  <w:tcW w:w="1038" w:type="dxa"/>
                </w:tcPr>
                <w:p>
                  <w:pPr>
                    <w:numPr>
                      <w:ilvl w:val="0"/>
                      <w:numId w:val="0"/>
                    </w:numPr>
                    <w:tabs>
                      <w:tab w:val="left" w:pos="0"/>
                    </w:tabs>
                    <w:adjustRightInd w:val="0"/>
                    <w:snapToGrid w:val="0"/>
                    <w:spacing w:line="240" w:lineRule="auto"/>
                    <w:jc w:val="center"/>
                    <w:rPr>
                      <w:rFonts w:hint="default"/>
                      <w:color w:val="FF0000"/>
                      <w:lang w:val="en-US" w:eastAsia="zh-CN"/>
                    </w:rPr>
                  </w:pPr>
                  <w:r>
                    <w:rPr>
                      <w:rFonts w:hint="eastAsia" w:ascii="Times New Roman" w:hAnsi="Times New Roman" w:eastAsia="宋体" w:cs="Times New Roman"/>
                      <w:b/>
                      <w:color w:val="FF0000"/>
                      <w:kern w:val="44"/>
                      <w:szCs w:val="21"/>
                      <w:vertAlign w:val="baseline"/>
                      <w:lang w:val="en-US" w:eastAsia="zh-CN"/>
                    </w:rPr>
                    <w:t>Na</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TiO</w:t>
                  </w:r>
                  <w:r>
                    <w:rPr>
                      <w:rFonts w:hint="eastAsia" w:ascii="Times New Roman" w:hAnsi="Times New Roman" w:eastAsia="宋体" w:cs="Times New Roman"/>
                      <w:b/>
                      <w:color w:val="FF0000"/>
                      <w:kern w:val="44"/>
                      <w:szCs w:val="21"/>
                      <w:vertAlign w:val="subscript"/>
                      <w:lang w:val="en-US" w:eastAsia="zh-CN"/>
                    </w:rPr>
                    <w:t>2</w:t>
                  </w: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Fe</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r>
                    <w:rPr>
                      <w:rFonts w:hint="eastAsia" w:ascii="Times New Roman" w:hAnsi="Times New Roman" w:eastAsia="宋体" w:cs="Times New Roman"/>
                      <w:b/>
                      <w:color w:val="FF0000"/>
                      <w:kern w:val="44"/>
                      <w:szCs w:val="21"/>
                      <w:vertAlign w:val="subscript"/>
                      <w:lang w:val="en-US" w:eastAsia="zh-CN"/>
                    </w:rPr>
                    <w:t>3</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P</w:t>
                  </w:r>
                  <w:r>
                    <w:rPr>
                      <w:rFonts w:hint="eastAsia" w:ascii="Times New Roman" w:hAnsi="Times New Roman" w:eastAsia="宋体" w:cs="Times New Roman"/>
                      <w:b/>
                      <w:color w:val="FF0000"/>
                      <w:kern w:val="44"/>
                      <w:szCs w:val="21"/>
                      <w:vertAlign w:val="subscript"/>
                      <w:lang w:val="en-US" w:eastAsia="zh-CN"/>
                    </w:rPr>
                    <w:t>2</w:t>
                  </w:r>
                  <w:r>
                    <w:rPr>
                      <w:rFonts w:hint="eastAsia" w:ascii="Times New Roman" w:hAnsi="Times New Roman" w:eastAsia="宋体" w:cs="Times New Roman"/>
                      <w:b/>
                      <w:color w:val="FF0000"/>
                      <w:kern w:val="44"/>
                      <w:szCs w:val="21"/>
                      <w:vertAlign w:val="baseline"/>
                      <w:lang w:val="en-US" w:eastAsia="zh-CN"/>
                    </w:rPr>
                    <w:t>O</w:t>
                  </w:r>
                  <w:r>
                    <w:rPr>
                      <w:rFonts w:hint="eastAsia" w:ascii="Times New Roman" w:hAnsi="Times New Roman" w:eastAsia="宋体" w:cs="Times New Roman"/>
                      <w:b/>
                      <w:color w:val="FF0000"/>
                      <w:kern w:val="44"/>
                      <w:szCs w:val="21"/>
                      <w:vertAlign w:val="sub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0.9</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0.42</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2.45</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53.30</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0.08</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0.07</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0.03</w:t>
                  </w:r>
                </w:p>
              </w:tc>
              <w:tc>
                <w:tcPr>
                  <w:tcW w:w="1038"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0.17</w:t>
                  </w: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SO</w:t>
                  </w:r>
                  <w:r>
                    <w:rPr>
                      <w:rFonts w:hint="eastAsia" w:ascii="Times New Roman" w:hAnsi="Times New Roman" w:eastAsia="宋体" w:cs="Times New Roman"/>
                      <w:b/>
                      <w:color w:val="FF0000"/>
                      <w:kern w:val="44"/>
                      <w:szCs w:val="21"/>
                      <w:vertAlign w:val="subscript"/>
                      <w:lang w:val="en-US" w:eastAsia="zh-CN"/>
                    </w:rPr>
                    <w:t>3</w:t>
                  </w: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烧失量</w:t>
                  </w: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0.10</w:t>
                  </w:r>
                </w:p>
              </w:tc>
              <w:tc>
                <w:tcPr>
                  <w:tcW w:w="1037" w:type="dxa"/>
                </w:tcPr>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FF0000"/>
                      <w:kern w:val="44"/>
                      <w:szCs w:val="21"/>
                      <w:vertAlign w:val="baseline"/>
                      <w:lang w:val="en-US" w:eastAsia="zh-CN"/>
                    </w:rPr>
                  </w:pPr>
                  <w:r>
                    <w:rPr>
                      <w:rFonts w:hint="eastAsia" w:ascii="Times New Roman" w:hAnsi="Times New Roman" w:eastAsia="宋体" w:cs="Times New Roman"/>
                      <w:b/>
                      <w:color w:val="FF0000"/>
                      <w:kern w:val="44"/>
                      <w:szCs w:val="21"/>
                      <w:vertAlign w:val="baseline"/>
                      <w:lang w:val="en-US" w:eastAsia="zh-CN"/>
                    </w:rPr>
                    <w:t>42.46</w:t>
                  </w: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7"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c>
                <w:tcPr>
                  <w:tcW w:w="1038" w:type="dxa"/>
                </w:tcPr>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FF0000"/>
                      <w:kern w:val="44"/>
                      <w:szCs w:val="21"/>
                      <w:vertAlign w:val="baseline"/>
                      <w:lang w:val="en-US" w:eastAsia="zh-CN"/>
                    </w:rPr>
                  </w:pPr>
                </w:p>
              </w:tc>
            </w:tr>
          </w:tbl>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auto"/>
                <w:kern w:val="44"/>
                <w:szCs w:val="21"/>
                <w:lang w:val="en-US" w:eastAsia="zh-CN"/>
              </w:rPr>
            </w:pPr>
            <w:r>
              <w:rPr>
                <w:rFonts w:hint="eastAsia" w:ascii="Times New Roman" w:hAnsi="Times New Roman" w:eastAsia="宋体" w:cs="Times New Roman"/>
                <w:b/>
                <w:color w:val="auto"/>
                <w:kern w:val="44"/>
                <w:szCs w:val="21"/>
                <w:lang w:val="en-US" w:eastAsia="zh-CN"/>
              </w:rPr>
              <w:t>表2-6项目物料平衡表</w:t>
            </w:r>
          </w:p>
          <w:tbl>
            <w:tblPr>
              <w:tblStyle w:val="58"/>
              <w:tblW w:w="8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1947"/>
              <w:gridCol w:w="2909"/>
              <w:gridCol w:w="1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4" w:type="dxa"/>
                  <w:gridSpan w:val="2"/>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投入</w:t>
                  </w:r>
                </w:p>
              </w:tc>
              <w:tc>
                <w:tcPr>
                  <w:tcW w:w="4878" w:type="dxa"/>
                  <w:gridSpan w:val="2"/>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名称</w:t>
                  </w:r>
                </w:p>
              </w:tc>
              <w:tc>
                <w:tcPr>
                  <w:tcW w:w="19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数量（t）</w:t>
                  </w:r>
                </w:p>
              </w:tc>
              <w:tc>
                <w:tcPr>
                  <w:tcW w:w="2909"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名称</w:t>
                  </w:r>
                </w:p>
              </w:tc>
              <w:tc>
                <w:tcPr>
                  <w:tcW w:w="1969"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数量（t）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氟石膏</w:t>
                  </w:r>
                </w:p>
              </w:tc>
              <w:tc>
                <w:tcPr>
                  <w:tcW w:w="1947" w:type="dxa"/>
                </w:tcPr>
                <w:p>
                  <w:pPr>
                    <w:adjustRightInd w:val="0"/>
                    <w:snapToGrid w:val="0"/>
                    <w:spacing w:line="240" w:lineRule="auto"/>
                    <w:jc w:val="center"/>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250000</w:t>
                  </w:r>
                </w:p>
              </w:tc>
              <w:tc>
                <w:tcPr>
                  <w:tcW w:w="2909" w:type="dxa"/>
                  <w:vAlign w:val="top"/>
                </w:tcPr>
                <w:p>
                  <w:pPr>
                    <w:keepNext w:val="0"/>
                    <w:keepLines w:val="0"/>
                    <w:widowControl/>
                    <w:suppressLineNumbers w:val="0"/>
                    <w:jc w:val="center"/>
                    <w:textAlignment w:val="top"/>
                    <w:rPr>
                      <w:rFonts w:hint="eastAsia" w:ascii="Times New Roman" w:hAnsi="Times New Roman" w:eastAsia="宋体" w:cs="Times New Roman"/>
                      <w:b w:val="0"/>
                      <w:bCs/>
                      <w:color w:val="FF0000"/>
                      <w:kern w:val="44"/>
                      <w:sz w:val="21"/>
                      <w:szCs w:val="21"/>
                      <w:vertAlign w:val="baseline"/>
                      <w:lang w:val="en-US" w:eastAsia="zh-CN"/>
                    </w:rPr>
                  </w:pPr>
                  <w:r>
                    <w:rPr>
                      <w:rFonts w:hint="eastAsia" w:ascii="宋体" w:hAnsi="宋体" w:eastAsia="宋体" w:cs="宋体"/>
                      <w:i w:val="0"/>
                      <w:iCs w:val="0"/>
                      <w:color w:val="FF0000"/>
                      <w:kern w:val="0"/>
                      <w:sz w:val="21"/>
                      <w:szCs w:val="21"/>
                      <w:u w:val="none"/>
                      <w:lang w:val="en-US" w:eastAsia="zh-CN" w:bidi="ar"/>
                    </w:rPr>
                    <w:t>氟石膏粉</w:t>
                  </w:r>
                </w:p>
              </w:tc>
              <w:tc>
                <w:tcPr>
                  <w:tcW w:w="1969" w:type="dxa"/>
                  <w:vAlign w:val="top"/>
                </w:tcPr>
                <w:p>
                  <w:pPr>
                    <w:keepNext w:val="0"/>
                    <w:keepLines w:val="0"/>
                    <w:widowControl/>
                    <w:suppressLineNumbers w:val="0"/>
                    <w:jc w:val="center"/>
                    <w:textAlignment w:val="top"/>
                    <w:rPr>
                      <w:rFonts w:hint="default" w:ascii="Times New Roman" w:hAnsi="Times New Roman" w:eastAsia="宋体" w:cs="Times New Roman"/>
                      <w:b w:val="0"/>
                      <w:bCs/>
                      <w:color w:val="FF0000"/>
                      <w:kern w:val="44"/>
                      <w:sz w:val="21"/>
                      <w:szCs w:val="21"/>
                      <w:vertAlign w:val="baseli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249999.3685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vAlign w:val="top"/>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bidi="ar-SA"/>
                    </w:rPr>
                  </w:pPr>
                  <w:r>
                    <w:rPr>
                      <w:rFonts w:hint="eastAsia" w:ascii="Times New Roman" w:hAnsi="Times New Roman" w:eastAsia="宋体" w:cs="Times New Roman"/>
                      <w:b w:val="0"/>
                      <w:bCs/>
                      <w:color w:val="FF0000"/>
                      <w:kern w:val="44"/>
                      <w:sz w:val="21"/>
                      <w:szCs w:val="21"/>
                      <w:vertAlign w:val="baseline"/>
                      <w:lang w:val="en-US" w:eastAsia="zh-CN"/>
                    </w:rPr>
                    <w:t>天然石膏</w:t>
                  </w:r>
                </w:p>
              </w:tc>
              <w:tc>
                <w:tcPr>
                  <w:tcW w:w="1947" w:type="dxa"/>
                  <w:vAlign w:val="top"/>
                </w:tcPr>
                <w:p>
                  <w:pPr>
                    <w:adjustRightInd w:val="0"/>
                    <w:snapToGrid w:val="0"/>
                    <w:spacing w:line="240" w:lineRule="auto"/>
                    <w:jc w:val="center"/>
                    <w:rPr>
                      <w:rFonts w:hint="default" w:ascii="Times New Roman" w:hAnsi="Times New Roman" w:eastAsia="宋体" w:cs="Times New Roman"/>
                      <w:b w:val="0"/>
                      <w:bCs/>
                      <w:color w:val="FF0000"/>
                      <w:kern w:val="44"/>
                      <w:sz w:val="21"/>
                      <w:szCs w:val="21"/>
                      <w:vertAlign w:val="baseline"/>
                      <w:lang w:val="en-US" w:eastAsia="zh-CN" w:bidi="ar-SA"/>
                    </w:rPr>
                  </w:pPr>
                  <w:r>
                    <w:rPr>
                      <w:rFonts w:hint="eastAsia" w:ascii="Times New Roman" w:hAnsi="Times New Roman" w:eastAsia="宋体" w:cs="Times New Roman"/>
                      <w:b w:val="0"/>
                      <w:bCs/>
                      <w:color w:val="FF0000"/>
                      <w:kern w:val="44"/>
                      <w:sz w:val="21"/>
                      <w:szCs w:val="21"/>
                      <w:vertAlign w:val="baseline"/>
                      <w:lang w:val="en-US" w:eastAsia="zh-CN"/>
                    </w:rPr>
                    <w:t>80000</w:t>
                  </w:r>
                </w:p>
              </w:tc>
              <w:tc>
                <w:tcPr>
                  <w:tcW w:w="2909" w:type="dxa"/>
                  <w:vAlign w:val="top"/>
                </w:tcPr>
                <w:p>
                  <w:pPr>
                    <w:keepNext w:val="0"/>
                    <w:keepLines w:val="0"/>
                    <w:widowControl/>
                    <w:suppressLineNumbers w:val="0"/>
                    <w:jc w:val="center"/>
                    <w:textAlignment w:val="top"/>
                    <w:rPr>
                      <w:rFonts w:hint="eastAsia" w:ascii="Times New Roman" w:hAnsi="Times New Roman" w:eastAsia="宋体" w:cs="Times New Roman"/>
                      <w:b w:val="0"/>
                      <w:bCs/>
                      <w:color w:val="FF0000"/>
                      <w:kern w:val="44"/>
                      <w:sz w:val="21"/>
                      <w:szCs w:val="21"/>
                      <w:vertAlign w:val="baseline"/>
                      <w:lang w:val="en-US" w:eastAsia="zh-CN"/>
                    </w:rPr>
                  </w:pPr>
                  <w:r>
                    <w:rPr>
                      <w:rFonts w:hint="eastAsia" w:ascii="宋体" w:hAnsi="宋体" w:eastAsia="宋体" w:cs="宋体"/>
                      <w:i w:val="0"/>
                      <w:iCs w:val="0"/>
                      <w:color w:val="FF0000"/>
                      <w:kern w:val="0"/>
                      <w:sz w:val="21"/>
                      <w:szCs w:val="21"/>
                      <w:u w:val="none"/>
                      <w:lang w:val="en-US" w:eastAsia="zh-CN" w:bidi="ar"/>
                    </w:rPr>
                    <w:t>天然石膏粉</w:t>
                  </w:r>
                </w:p>
              </w:tc>
              <w:tc>
                <w:tcPr>
                  <w:tcW w:w="1969" w:type="dxa"/>
                  <w:vAlign w:val="top"/>
                </w:tcPr>
                <w:p>
                  <w:pPr>
                    <w:keepNext w:val="0"/>
                    <w:keepLines w:val="0"/>
                    <w:widowControl/>
                    <w:suppressLineNumbers w:val="0"/>
                    <w:jc w:val="center"/>
                    <w:textAlignment w:val="top"/>
                    <w:rPr>
                      <w:rFonts w:hint="default" w:ascii="Times New Roman" w:hAnsi="Times New Roman" w:eastAsia="宋体" w:cs="Times New Roman"/>
                      <w:b w:val="0"/>
                      <w:bCs/>
                      <w:color w:val="FF0000"/>
                      <w:kern w:val="44"/>
                      <w:sz w:val="21"/>
                      <w:szCs w:val="21"/>
                      <w:vertAlign w:val="baseli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79998.6079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vAlign w:val="top"/>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bidi="ar-SA"/>
                    </w:rPr>
                  </w:pPr>
                  <w:r>
                    <w:rPr>
                      <w:rFonts w:hint="eastAsia" w:ascii="Times New Roman" w:hAnsi="Times New Roman" w:eastAsia="宋体" w:cs="Times New Roman"/>
                      <w:b w:val="0"/>
                      <w:bCs/>
                      <w:color w:val="FF0000"/>
                      <w:kern w:val="44"/>
                      <w:sz w:val="21"/>
                      <w:szCs w:val="21"/>
                      <w:vertAlign w:val="baseline"/>
                      <w:lang w:val="en-US" w:eastAsia="zh-CN"/>
                    </w:rPr>
                    <w:t>石灰石</w:t>
                  </w:r>
                </w:p>
              </w:tc>
              <w:tc>
                <w:tcPr>
                  <w:tcW w:w="1947" w:type="dxa"/>
                  <w:vAlign w:val="top"/>
                </w:tcPr>
                <w:p>
                  <w:pPr>
                    <w:adjustRightInd w:val="0"/>
                    <w:snapToGrid w:val="0"/>
                    <w:spacing w:line="240" w:lineRule="auto"/>
                    <w:jc w:val="center"/>
                    <w:rPr>
                      <w:rFonts w:hint="default" w:ascii="Times New Roman" w:hAnsi="Times New Roman" w:eastAsia="宋体" w:cs="Times New Roman"/>
                      <w:b w:val="0"/>
                      <w:bCs/>
                      <w:color w:val="FF0000"/>
                      <w:kern w:val="44"/>
                      <w:sz w:val="21"/>
                      <w:szCs w:val="21"/>
                      <w:vertAlign w:val="baseline"/>
                      <w:lang w:val="en-US" w:eastAsia="zh-CN" w:bidi="ar-SA"/>
                    </w:rPr>
                  </w:pPr>
                  <w:r>
                    <w:rPr>
                      <w:rFonts w:hint="eastAsia" w:ascii="Times New Roman" w:hAnsi="Times New Roman" w:eastAsia="宋体" w:cs="Times New Roman"/>
                      <w:b w:val="0"/>
                      <w:bCs/>
                      <w:color w:val="FF0000"/>
                      <w:kern w:val="44"/>
                      <w:sz w:val="21"/>
                      <w:szCs w:val="21"/>
                      <w:vertAlign w:val="baseline"/>
                      <w:lang w:val="en-US" w:eastAsia="zh-CN"/>
                    </w:rPr>
                    <w:t>180000</w:t>
                  </w:r>
                </w:p>
              </w:tc>
              <w:tc>
                <w:tcPr>
                  <w:tcW w:w="2909" w:type="dxa"/>
                  <w:vAlign w:val="top"/>
                </w:tcPr>
                <w:p>
                  <w:pPr>
                    <w:keepNext w:val="0"/>
                    <w:keepLines w:val="0"/>
                    <w:widowControl/>
                    <w:suppressLineNumbers w:val="0"/>
                    <w:jc w:val="center"/>
                    <w:textAlignment w:val="top"/>
                    <w:rPr>
                      <w:rFonts w:hint="eastAsia" w:ascii="Times New Roman" w:hAnsi="Times New Roman" w:eastAsia="宋体" w:cs="Times New Roman"/>
                      <w:b w:val="0"/>
                      <w:bCs/>
                      <w:color w:val="FF0000"/>
                      <w:kern w:val="44"/>
                      <w:sz w:val="21"/>
                      <w:szCs w:val="21"/>
                      <w:vertAlign w:val="baseline"/>
                      <w:lang w:val="en-US" w:eastAsia="zh-CN"/>
                    </w:rPr>
                  </w:pPr>
                  <w:r>
                    <w:rPr>
                      <w:rFonts w:hint="eastAsia" w:ascii="宋体" w:hAnsi="宋体" w:eastAsia="宋体" w:cs="宋体"/>
                      <w:i w:val="0"/>
                      <w:iCs w:val="0"/>
                      <w:color w:val="FF0000"/>
                      <w:kern w:val="0"/>
                      <w:sz w:val="21"/>
                      <w:szCs w:val="21"/>
                      <w:u w:val="none"/>
                      <w:lang w:val="en-US" w:eastAsia="zh-CN" w:bidi="ar"/>
                    </w:rPr>
                    <w:t>碳酸钙</w:t>
                  </w:r>
                </w:p>
              </w:tc>
              <w:tc>
                <w:tcPr>
                  <w:tcW w:w="1969" w:type="dxa"/>
                  <w:vAlign w:val="top"/>
                </w:tcPr>
                <w:p>
                  <w:pPr>
                    <w:keepNext w:val="0"/>
                    <w:keepLines w:val="0"/>
                    <w:widowControl/>
                    <w:suppressLineNumbers w:val="0"/>
                    <w:jc w:val="center"/>
                    <w:textAlignment w:val="top"/>
                    <w:rPr>
                      <w:rFonts w:hint="default" w:ascii="Times New Roman" w:hAnsi="Times New Roman" w:eastAsia="宋体" w:cs="Times New Roman"/>
                      <w:b w:val="0"/>
                      <w:bCs/>
                      <w:color w:val="FF0000"/>
                      <w:kern w:val="44"/>
                      <w:sz w:val="21"/>
                      <w:szCs w:val="21"/>
                      <w:vertAlign w:val="baseli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179999.5455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回用粉尘</w:t>
                  </w:r>
                </w:p>
              </w:tc>
              <w:tc>
                <w:tcPr>
                  <w:tcW w:w="1947" w:type="dxa"/>
                </w:tcPr>
                <w:p>
                  <w:pPr>
                    <w:adjustRightInd w:val="0"/>
                    <w:snapToGrid w:val="0"/>
                    <w:spacing w:line="240" w:lineRule="auto"/>
                    <w:jc w:val="center"/>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81.2864</w:t>
                  </w:r>
                </w:p>
              </w:tc>
              <w:tc>
                <w:tcPr>
                  <w:tcW w:w="2909" w:type="dxa"/>
                  <w:vAlign w:val="top"/>
                </w:tcPr>
                <w:p>
                  <w:pPr>
                    <w:keepNext w:val="0"/>
                    <w:keepLines w:val="0"/>
                    <w:widowControl/>
                    <w:suppressLineNumbers w:val="0"/>
                    <w:jc w:val="center"/>
                    <w:textAlignment w:val="top"/>
                    <w:rPr>
                      <w:rFonts w:hint="eastAsia" w:ascii="Times New Roman" w:hAnsi="Times New Roman" w:eastAsia="宋体" w:cs="Times New Roman"/>
                      <w:b w:val="0"/>
                      <w:bCs/>
                      <w:color w:val="FF0000"/>
                      <w:kern w:val="44"/>
                      <w:sz w:val="21"/>
                      <w:szCs w:val="21"/>
                      <w:vertAlign w:val="baseline"/>
                      <w:lang w:val="en-US" w:eastAsia="zh-CN"/>
                    </w:rPr>
                  </w:pPr>
                  <w:r>
                    <w:rPr>
                      <w:rFonts w:hint="eastAsia" w:ascii="宋体" w:hAnsi="宋体" w:eastAsia="宋体" w:cs="宋体"/>
                      <w:i w:val="0"/>
                      <w:iCs w:val="0"/>
                      <w:color w:val="FF0000"/>
                      <w:kern w:val="0"/>
                      <w:sz w:val="21"/>
                      <w:szCs w:val="21"/>
                      <w:u w:val="none"/>
                      <w:lang w:val="en-US" w:eastAsia="zh-CN" w:bidi="ar"/>
                    </w:rPr>
                    <w:t>有组织排放</w:t>
                  </w:r>
                </w:p>
              </w:tc>
              <w:tc>
                <w:tcPr>
                  <w:tcW w:w="1969" w:type="dxa"/>
                  <w:vAlign w:val="top"/>
                </w:tcPr>
                <w:p>
                  <w:pPr>
                    <w:keepNext w:val="0"/>
                    <w:keepLines w:val="0"/>
                    <w:widowControl/>
                    <w:suppressLineNumbers w:val="0"/>
                    <w:jc w:val="center"/>
                    <w:textAlignment w:val="top"/>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i w:val="0"/>
                      <w:iCs w:val="0"/>
                      <w:color w:val="FF0000"/>
                      <w:kern w:val="0"/>
                      <w:sz w:val="21"/>
                      <w:szCs w:val="21"/>
                      <w:u w:val="none"/>
                      <w:lang w:val="en-US" w:eastAsia="zh-CN" w:bidi="ar"/>
                    </w:rPr>
                    <w:t>0.5661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p>
              </w:tc>
              <w:tc>
                <w:tcPr>
                  <w:tcW w:w="19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p>
              </w:tc>
              <w:tc>
                <w:tcPr>
                  <w:tcW w:w="2909" w:type="dxa"/>
                  <w:vAlign w:val="top"/>
                </w:tcPr>
                <w:p>
                  <w:pPr>
                    <w:keepNext w:val="0"/>
                    <w:keepLines w:val="0"/>
                    <w:widowControl/>
                    <w:suppressLineNumbers w:val="0"/>
                    <w:jc w:val="center"/>
                    <w:textAlignment w:val="top"/>
                    <w:rPr>
                      <w:rFonts w:hint="eastAsia" w:ascii="Times New Roman" w:hAnsi="Times New Roman" w:eastAsia="宋体" w:cs="Times New Roman"/>
                      <w:b w:val="0"/>
                      <w:bCs/>
                      <w:color w:val="FF0000"/>
                      <w:kern w:val="44"/>
                      <w:sz w:val="21"/>
                      <w:szCs w:val="21"/>
                      <w:vertAlign w:val="baseline"/>
                      <w:lang w:val="en-US" w:eastAsia="zh-CN"/>
                    </w:rPr>
                  </w:pPr>
                  <w:r>
                    <w:rPr>
                      <w:rFonts w:hint="eastAsia" w:ascii="宋体" w:hAnsi="宋体" w:eastAsia="宋体" w:cs="宋体"/>
                      <w:i w:val="0"/>
                      <w:iCs w:val="0"/>
                      <w:color w:val="FF0000"/>
                      <w:kern w:val="0"/>
                      <w:sz w:val="21"/>
                      <w:szCs w:val="21"/>
                      <w:u w:val="none"/>
                      <w:lang w:val="en-US" w:eastAsia="zh-CN" w:bidi="ar"/>
                    </w:rPr>
                    <w:t>无组织排放</w:t>
                  </w:r>
                </w:p>
              </w:tc>
              <w:tc>
                <w:tcPr>
                  <w:tcW w:w="1969" w:type="dxa"/>
                  <w:vAlign w:val="top"/>
                </w:tcPr>
                <w:p>
                  <w:pPr>
                    <w:keepNext w:val="0"/>
                    <w:keepLines w:val="0"/>
                    <w:widowControl/>
                    <w:suppressLineNumbers w:val="0"/>
                    <w:jc w:val="center"/>
                    <w:textAlignment w:val="top"/>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i w:val="0"/>
                      <w:iCs w:val="0"/>
                      <w:color w:val="FF0000"/>
                      <w:kern w:val="0"/>
                      <w:sz w:val="21"/>
                      <w:szCs w:val="21"/>
                      <w:u w:val="none"/>
                      <w:lang w:val="en-US" w:eastAsia="zh-CN" w:bidi="ar"/>
                    </w:rPr>
                    <w:t>1.9120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p>
              </w:tc>
              <w:tc>
                <w:tcPr>
                  <w:tcW w:w="19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p>
              </w:tc>
              <w:tc>
                <w:tcPr>
                  <w:tcW w:w="2909" w:type="dxa"/>
                  <w:vAlign w:val="top"/>
                </w:tcPr>
                <w:p>
                  <w:pPr>
                    <w:keepNext w:val="0"/>
                    <w:keepLines w:val="0"/>
                    <w:widowControl/>
                    <w:suppressLineNumbers w:val="0"/>
                    <w:jc w:val="center"/>
                    <w:textAlignment w:val="top"/>
                    <w:rPr>
                      <w:rFonts w:hint="eastAsia" w:ascii="Times New Roman" w:hAnsi="Times New Roman" w:eastAsia="宋体" w:cs="Times New Roman"/>
                      <w:b w:val="0"/>
                      <w:bCs/>
                      <w:color w:val="FF0000"/>
                      <w:kern w:val="44"/>
                      <w:sz w:val="21"/>
                      <w:szCs w:val="21"/>
                      <w:vertAlign w:val="baseline"/>
                      <w:lang w:val="en-US" w:eastAsia="zh-CN"/>
                    </w:rPr>
                  </w:pPr>
                  <w:r>
                    <w:rPr>
                      <w:rFonts w:hint="eastAsia" w:ascii="宋体" w:hAnsi="宋体" w:eastAsia="宋体" w:cs="宋体"/>
                      <w:i w:val="0"/>
                      <w:iCs w:val="0"/>
                      <w:color w:val="FF0000"/>
                      <w:kern w:val="0"/>
                      <w:sz w:val="21"/>
                      <w:szCs w:val="21"/>
                      <w:u w:val="none"/>
                      <w:lang w:val="en-US" w:eastAsia="zh-CN" w:bidi="ar"/>
                    </w:rPr>
                    <w:t>布袋收集粉尘</w:t>
                  </w:r>
                </w:p>
              </w:tc>
              <w:tc>
                <w:tcPr>
                  <w:tcW w:w="1969" w:type="dxa"/>
                  <w:vAlign w:val="top"/>
                </w:tcPr>
                <w:p>
                  <w:pPr>
                    <w:keepNext w:val="0"/>
                    <w:keepLines w:val="0"/>
                    <w:widowControl/>
                    <w:suppressLineNumbers w:val="0"/>
                    <w:jc w:val="center"/>
                    <w:textAlignment w:val="top"/>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i w:val="0"/>
                      <w:iCs w:val="0"/>
                      <w:color w:val="FF0000"/>
                      <w:kern w:val="0"/>
                      <w:sz w:val="21"/>
                      <w:szCs w:val="21"/>
                      <w:u w:val="none"/>
                      <w:lang w:val="en-US" w:eastAsia="zh-CN" w:bidi="ar"/>
                    </w:rPr>
                    <w:t>81.2864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合计</w:t>
                  </w:r>
                </w:p>
              </w:tc>
              <w:tc>
                <w:tcPr>
                  <w:tcW w:w="1947" w:type="dxa"/>
                </w:tcPr>
                <w:p>
                  <w:pPr>
                    <w:adjustRightInd w:val="0"/>
                    <w:snapToGrid w:val="0"/>
                    <w:spacing w:line="240" w:lineRule="auto"/>
                    <w:jc w:val="center"/>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510081.2864</w:t>
                  </w:r>
                </w:p>
              </w:tc>
              <w:tc>
                <w:tcPr>
                  <w:tcW w:w="2909"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合计</w:t>
                  </w:r>
                </w:p>
              </w:tc>
              <w:tc>
                <w:tcPr>
                  <w:tcW w:w="1969" w:type="dxa"/>
                </w:tcPr>
                <w:p>
                  <w:pPr>
                    <w:adjustRightInd w:val="0"/>
                    <w:snapToGrid w:val="0"/>
                    <w:spacing w:line="240" w:lineRule="auto"/>
                    <w:jc w:val="center"/>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510081.2864</w:t>
                  </w:r>
                </w:p>
              </w:tc>
            </w:tr>
          </w:tbl>
          <w:p>
            <w:pPr>
              <w:numPr>
                <w:ilvl w:val="0"/>
                <w:numId w:val="0"/>
              </w:numPr>
              <w:tabs>
                <w:tab w:val="left" w:pos="0"/>
              </w:tabs>
              <w:adjustRightInd w:val="0"/>
              <w:snapToGrid w:val="0"/>
              <w:spacing w:line="240" w:lineRule="auto"/>
              <w:jc w:val="center"/>
              <w:rPr>
                <w:rFonts w:hint="eastAsia" w:ascii="Times New Roman" w:hAnsi="Times New Roman" w:eastAsia="宋体" w:cs="Times New Roman"/>
                <w:b/>
                <w:color w:val="auto"/>
                <w:kern w:val="44"/>
                <w:szCs w:val="21"/>
                <w:lang w:val="en-US" w:eastAsia="zh-CN"/>
              </w:rPr>
            </w:pPr>
            <w:r>
              <w:rPr>
                <w:rFonts w:hint="eastAsia" w:ascii="Times New Roman" w:hAnsi="Times New Roman" w:eastAsia="宋体" w:cs="Times New Roman"/>
                <w:b/>
                <w:color w:val="auto"/>
                <w:kern w:val="44"/>
                <w:szCs w:val="21"/>
                <w:lang w:val="en-US" w:eastAsia="zh-CN"/>
              </w:rPr>
              <w:t>表2-7 氟元素物料平衡表</w:t>
            </w:r>
          </w:p>
          <w:tbl>
            <w:tblPr>
              <w:tblStyle w:val="58"/>
              <w:tblW w:w="8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1947"/>
              <w:gridCol w:w="2909"/>
              <w:gridCol w:w="1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4" w:type="dxa"/>
                  <w:gridSpan w:val="2"/>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投入</w:t>
                  </w:r>
                </w:p>
              </w:tc>
              <w:tc>
                <w:tcPr>
                  <w:tcW w:w="4878" w:type="dxa"/>
                  <w:gridSpan w:val="2"/>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名称</w:t>
                  </w:r>
                </w:p>
              </w:tc>
              <w:tc>
                <w:tcPr>
                  <w:tcW w:w="19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数量（t）</w:t>
                  </w:r>
                </w:p>
              </w:tc>
              <w:tc>
                <w:tcPr>
                  <w:tcW w:w="2909"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名称</w:t>
                  </w:r>
                </w:p>
              </w:tc>
              <w:tc>
                <w:tcPr>
                  <w:tcW w:w="1969"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数量（t）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氟石膏中氟含量</w:t>
                  </w:r>
                </w:p>
              </w:tc>
              <w:tc>
                <w:tcPr>
                  <w:tcW w:w="1947" w:type="dxa"/>
                </w:tcPr>
                <w:p>
                  <w:pPr>
                    <w:adjustRightInd w:val="0"/>
                    <w:snapToGrid w:val="0"/>
                    <w:spacing w:line="240" w:lineRule="auto"/>
                    <w:jc w:val="center"/>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1850</w:t>
                  </w:r>
                </w:p>
              </w:tc>
              <w:tc>
                <w:tcPr>
                  <w:tcW w:w="2909" w:type="dxa"/>
                  <w:vAlign w:val="top"/>
                </w:tcPr>
                <w:p>
                  <w:pPr>
                    <w:keepNext w:val="0"/>
                    <w:keepLines w:val="0"/>
                    <w:widowControl/>
                    <w:suppressLineNumbers w:val="0"/>
                    <w:jc w:val="center"/>
                    <w:textAlignment w:val="top"/>
                    <w:rPr>
                      <w:rFonts w:hint="eastAsia" w:ascii="Times New Roman" w:hAnsi="Times New Roman" w:eastAsia="宋体" w:cs="Times New Roman"/>
                      <w:b w:val="0"/>
                      <w:bCs/>
                      <w:color w:val="FF0000"/>
                      <w:kern w:val="44"/>
                      <w:sz w:val="21"/>
                      <w:szCs w:val="21"/>
                      <w:vertAlign w:val="baseline"/>
                      <w:lang w:val="en-US" w:eastAsia="zh-CN"/>
                    </w:rPr>
                  </w:pPr>
                  <w:r>
                    <w:rPr>
                      <w:rFonts w:hint="eastAsia" w:ascii="宋体" w:hAnsi="宋体" w:eastAsia="宋体" w:cs="宋体"/>
                      <w:i w:val="0"/>
                      <w:iCs w:val="0"/>
                      <w:color w:val="FF0000"/>
                      <w:kern w:val="0"/>
                      <w:sz w:val="21"/>
                      <w:szCs w:val="21"/>
                      <w:u w:val="none"/>
                      <w:lang w:val="en-US" w:eastAsia="zh-CN" w:bidi="ar"/>
                    </w:rPr>
                    <w:t>氟石膏粉中氟含量</w:t>
                  </w:r>
                </w:p>
              </w:tc>
              <w:tc>
                <w:tcPr>
                  <w:tcW w:w="1969" w:type="dxa"/>
                  <w:vAlign w:val="top"/>
                </w:tcPr>
                <w:p>
                  <w:pPr>
                    <w:keepNext w:val="0"/>
                    <w:keepLines w:val="0"/>
                    <w:widowControl/>
                    <w:suppressLineNumbers w:val="0"/>
                    <w:jc w:val="center"/>
                    <w:textAlignment w:val="top"/>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i w:val="0"/>
                      <w:iCs w:val="0"/>
                      <w:color w:val="FF0000"/>
                      <w:kern w:val="0"/>
                      <w:sz w:val="21"/>
                      <w:szCs w:val="21"/>
                      <w:u w:val="none"/>
                      <w:lang w:val="en-US" w:eastAsia="zh-CN" w:bidi="ar"/>
                    </w:rPr>
                    <w:t>1849.9953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氟化物回用粉尘</w:t>
                  </w:r>
                </w:p>
              </w:tc>
              <w:tc>
                <w:tcPr>
                  <w:tcW w:w="1947" w:type="dxa"/>
                </w:tcPr>
                <w:p>
                  <w:pPr>
                    <w:adjustRightInd w:val="0"/>
                    <w:snapToGrid w:val="0"/>
                    <w:spacing w:line="240" w:lineRule="auto"/>
                    <w:jc w:val="center"/>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0.2267</w:t>
                  </w:r>
                </w:p>
              </w:tc>
              <w:tc>
                <w:tcPr>
                  <w:tcW w:w="2909" w:type="dxa"/>
                  <w:vAlign w:val="top"/>
                </w:tcPr>
                <w:p>
                  <w:pPr>
                    <w:keepNext w:val="0"/>
                    <w:keepLines w:val="0"/>
                    <w:widowControl/>
                    <w:suppressLineNumbers w:val="0"/>
                    <w:jc w:val="center"/>
                    <w:textAlignment w:val="top"/>
                    <w:rPr>
                      <w:rFonts w:hint="eastAsia" w:ascii="Times New Roman" w:hAnsi="Times New Roman" w:eastAsia="宋体" w:cs="Times New Roman"/>
                      <w:b w:val="0"/>
                      <w:bCs/>
                      <w:color w:val="FF0000"/>
                      <w:kern w:val="44"/>
                      <w:sz w:val="21"/>
                      <w:szCs w:val="21"/>
                      <w:vertAlign w:val="baseline"/>
                      <w:lang w:val="en-US" w:eastAsia="zh-CN"/>
                    </w:rPr>
                  </w:pPr>
                  <w:r>
                    <w:rPr>
                      <w:rFonts w:hint="eastAsia" w:ascii="宋体" w:hAnsi="宋体" w:eastAsia="宋体" w:cs="宋体"/>
                      <w:i w:val="0"/>
                      <w:iCs w:val="0"/>
                      <w:color w:val="FF0000"/>
                      <w:kern w:val="0"/>
                      <w:sz w:val="21"/>
                      <w:szCs w:val="21"/>
                      <w:u w:val="none"/>
                      <w:lang w:val="en-US" w:eastAsia="zh-CN" w:bidi="ar"/>
                    </w:rPr>
                    <w:t>氟化物有组织排放</w:t>
                  </w:r>
                </w:p>
              </w:tc>
              <w:tc>
                <w:tcPr>
                  <w:tcW w:w="1969" w:type="dxa"/>
                  <w:vAlign w:val="top"/>
                </w:tcPr>
                <w:p>
                  <w:pPr>
                    <w:keepNext w:val="0"/>
                    <w:keepLines w:val="0"/>
                    <w:widowControl/>
                    <w:suppressLineNumbers w:val="0"/>
                    <w:jc w:val="center"/>
                    <w:textAlignment w:val="top"/>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i w:val="0"/>
                      <w:iCs w:val="0"/>
                      <w:color w:val="FF0000"/>
                      <w:kern w:val="0"/>
                      <w:sz w:val="21"/>
                      <w:szCs w:val="21"/>
                      <w:u w:val="none"/>
                      <w:lang w:val="en-US" w:eastAsia="zh-CN" w:bidi="ar"/>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p>
              </w:tc>
              <w:tc>
                <w:tcPr>
                  <w:tcW w:w="19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p>
              </w:tc>
              <w:tc>
                <w:tcPr>
                  <w:tcW w:w="2909" w:type="dxa"/>
                  <w:vAlign w:val="top"/>
                </w:tcPr>
                <w:p>
                  <w:pPr>
                    <w:keepNext w:val="0"/>
                    <w:keepLines w:val="0"/>
                    <w:widowControl/>
                    <w:suppressLineNumbers w:val="0"/>
                    <w:jc w:val="center"/>
                    <w:textAlignment w:val="top"/>
                    <w:rPr>
                      <w:rFonts w:hint="eastAsia" w:ascii="Times New Roman" w:hAnsi="Times New Roman" w:eastAsia="宋体" w:cs="Times New Roman"/>
                      <w:b w:val="0"/>
                      <w:bCs/>
                      <w:color w:val="FF0000"/>
                      <w:kern w:val="44"/>
                      <w:sz w:val="21"/>
                      <w:szCs w:val="21"/>
                      <w:vertAlign w:val="baseline"/>
                      <w:lang w:val="en-US" w:eastAsia="zh-CN"/>
                    </w:rPr>
                  </w:pPr>
                  <w:r>
                    <w:rPr>
                      <w:rFonts w:hint="eastAsia" w:ascii="宋体" w:hAnsi="宋体" w:eastAsia="宋体" w:cs="宋体"/>
                      <w:i w:val="0"/>
                      <w:iCs w:val="0"/>
                      <w:color w:val="FF0000"/>
                      <w:kern w:val="0"/>
                      <w:sz w:val="21"/>
                      <w:szCs w:val="21"/>
                      <w:u w:val="none"/>
                      <w:lang w:val="en-US" w:eastAsia="zh-CN" w:bidi="ar"/>
                    </w:rPr>
                    <w:t>氟化物无组织排放</w:t>
                  </w:r>
                </w:p>
              </w:tc>
              <w:tc>
                <w:tcPr>
                  <w:tcW w:w="1969" w:type="dxa"/>
                  <w:vAlign w:val="top"/>
                </w:tcPr>
                <w:p>
                  <w:pPr>
                    <w:keepNext w:val="0"/>
                    <w:keepLines w:val="0"/>
                    <w:widowControl/>
                    <w:suppressLineNumbers w:val="0"/>
                    <w:jc w:val="center"/>
                    <w:textAlignment w:val="top"/>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i w:val="0"/>
                      <w:iCs w:val="0"/>
                      <w:color w:val="FF0000"/>
                      <w:kern w:val="0"/>
                      <w:sz w:val="21"/>
                      <w:szCs w:val="21"/>
                      <w:u w:val="none"/>
                      <w:lang w:val="en-US" w:eastAsia="zh-CN" w:bidi="ar"/>
                    </w:rPr>
                    <w:t>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p>
              </w:tc>
              <w:tc>
                <w:tcPr>
                  <w:tcW w:w="19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p>
              </w:tc>
              <w:tc>
                <w:tcPr>
                  <w:tcW w:w="2909" w:type="dxa"/>
                  <w:vAlign w:val="top"/>
                </w:tcPr>
                <w:p>
                  <w:pPr>
                    <w:keepNext w:val="0"/>
                    <w:keepLines w:val="0"/>
                    <w:widowControl/>
                    <w:suppressLineNumbers w:val="0"/>
                    <w:jc w:val="center"/>
                    <w:textAlignment w:val="top"/>
                    <w:rPr>
                      <w:rFonts w:hint="eastAsia" w:ascii="Times New Roman" w:hAnsi="Times New Roman" w:eastAsia="宋体" w:cs="Times New Roman"/>
                      <w:b w:val="0"/>
                      <w:bCs/>
                      <w:color w:val="FF0000"/>
                      <w:kern w:val="44"/>
                      <w:sz w:val="21"/>
                      <w:szCs w:val="21"/>
                      <w:vertAlign w:val="baseline"/>
                      <w:lang w:val="en-US" w:eastAsia="zh-CN"/>
                    </w:rPr>
                  </w:pPr>
                  <w:r>
                    <w:rPr>
                      <w:rFonts w:hint="eastAsia" w:ascii="宋体" w:hAnsi="宋体" w:eastAsia="宋体" w:cs="宋体"/>
                      <w:i w:val="0"/>
                      <w:iCs w:val="0"/>
                      <w:color w:val="FF0000"/>
                      <w:kern w:val="0"/>
                      <w:sz w:val="21"/>
                      <w:szCs w:val="21"/>
                      <w:u w:val="none"/>
                      <w:lang w:val="en-US" w:eastAsia="zh-CN" w:bidi="ar"/>
                    </w:rPr>
                    <w:t>氟化物布袋收集粉尘</w:t>
                  </w:r>
                </w:p>
              </w:tc>
              <w:tc>
                <w:tcPr>
                  <w:tcW w:w="1969" w:type="dxa"/>
                  <w:vAlign w:val="top"/>
                </w:tcPr>
                <w:p>
                  <w:pPr>
                    <w:keepNext w:val="0"/>
                    <w:keepLines w:val="0"/>
                    <w:widowControl/>
                    <w:suppressLineNumbers w:val="0"/>
                    <w:jc w:val="center"/>
                    <w:textAlignment w:val="top"/>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0.2267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合计</w:t>
                  </w:r>
                </w:p>
              </w:tc>
              <w:tc>
                <w:tcPr>
                  <w:tcW w:w="1947" w:type="dxa"/>
                </w:tcPr>
                <w:p>
                  <w:pPr>
                    <w:adjustRightInd w:val="0"/>
                    <w:snapToGrid w:val="0"/>
                    <w:spacing w:line="240" w:lineRule="auto"/>
                    <w:jc w:val="center"/>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1850.2267</w:t>
                  </w:r>
                </w:p>
              </w:tc>
              <w:tc>
                <w:tcPr>
                  <w:tcW w:w="2909" w:type="dxa"/>
                </w:tcPr>
                <w:p>
                  <w:pPr>
                    <w:adjustRightInd w:val="0"/>
                    <w:snapToGrid w:val="0"/>
                    <w:spacing w:line="240" w:lineRule="auto"/>
                    <w:jc w:val="center"/>
                    <w:rPr>
                      <w:rFonts w:hint="eastAsia"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合计</w:t>
                  </w:r>
                </w:p>
              </w:tc>
              <w:tc>
                <w:tcPr>
                  <w:tcW w:w="1969" w:type="dxa"/>
                </w:tcPr>
                <w:p>
                  <w:pPr>
                    <w:adjustRightInd w:val="0"/>
                    <w:snapToGrid w:val="0"/>
                    <w:spacing w:line="240" w:lineRule="auto"/>
                    <w:jc w:val="center"/>
                    <w:rPr>
                      <w:rFonts w:hint="default" w:ascii="Times New Roman" w:hAnsi="Times New Roman" w:eastAsia="宋体" w:cs="Times New Roman"/>
                      <w:b w:val="0"/>
                      <w:bCs/>
                      <w:color w:val="FF0000"/>
                      <w:kern w:val="44"/>
                      <w:sz w:val="21"/>
                      <w:szCs w:val="21"/>
                      <w:vertAlign w:val="baseline"/>
                      <w:lang w:val="en-US" w:eastAsia="zh-CN"/>
                    </w:rPr>
                  </w:pPr>
                  <w:r>
                    <w:rPr>
                      <w:rFonts w:hint="eastAsia" w:ascii="Times New Roman" w:hAnsi="Times New Roman" w:eastAsia="宋体" w:cs="Times New Roman"/>
                      <w:b w:val="0"/>
                      <w:bCs/>
                      <w:color w:val="FF0000"/>
                      <w:kern w:val="44"/>
                      <w:sz w:val="21"/>
                      <w:szCs w:val="21"/>
                      <w:vertAlign w:val="baseline"/>
                      <w:lang w:val="en-US" w:eastAsia="zh-CN"/>
                    </w:rPr>
                    <w:t>1850.2267</w:t>
                  </w:r>
                </w:p>
              </w:tc>
            </w:tr>
          </w:tbl>
          <w:p>
            <w:pPr>
              <w:numPr>
                <w:ilvl w:val="0"/>
                <w:numId w:val="0"/>
              </w:numPr>
              <w:tabs>
                <w:tab w:val="left" w:pos="0"/>
              </w:tabs>
              <w:adjustRightInd w:val="0"/>
              <w:snapToGrid w:val="0"/>
              <w:spacing w:line="240" w:lineRule="auto"/>
              <w:jc w:val="center"/>
              <w:rPr>
                <w:rFonts w:hint="default" w:ascii="Times New Roman" w:hAnsi="Times New Roman" w:eastAsia="宋体" w:cs="Times New Roman"/>
                <w:b/>
                <w:color w:val="auto"/>
                <w:kern w:val="44"/>
                <w:szCs w:val="21"/>
                <w:lang w:val="en-US" w:eastAsia="zh-CN"/>
              </w:rPr>
            </w:pPr>
          </w:p>
          <w:p>
            <w:pPr>
              <w:adjustRightInd w:val="0"/>
              <w:snapToGrid w:val="0"/>
              <w:spacing w:line="360" w:lineRule="auto"/>
              <w:rPr>
                <w:rFonts w:hint="default" w:ascii="Times New Roman" w:hAnsi="Times New Roman" w:eastAsia="宋体" w:cs="Times New Roman"/>
                <w:b/>
                <w:color w:val="auto"/>
                <w:kern w:val="44"/>
                <w:sz w:val="24"/>
                <w:szCs w:val="24"/>
              </w:rPr>
            </w:pPr>
            <w:r>
              <w:rPr>
                <w:rFonts w:hint="eastAsia" w:ascii="Times New Roman" w:hAnsi="Times New Roman" w:eastAsia="宋体" w:cs="Times New Roman"/>
                <w:b/>
                <w:color w:val="auto"/>
                <w:kern w:val="44"/>
                <w:sz w:val="24"/>
                <w:szCs w:val="24"/>
                <w:lang w:val="en-US" w:eastAsia="zh-CN"/>
              </w:rPr>
              <w:t>6</w:t>
            </w:r>
            <w:r>
              <w:rPr>
                <w:rFonts w:hint="default" w:ascii="Times New Roman" w:hAnsi="Times New Roman" w:eastAsia="宋体" w:cs="Times New Roman"/>
                <w:b/>
                <w:color w:val="auto"/>
                <w:kern w:val="44"/>
                <w:sz w:val="24"/>
                <w:szCs w:val="24"/>
              </w:rPr>
              <w:t>、劳动定员及班制</w:t>
            </w:r>
          </w:p>
          <w:p>
            <w:pPr>
              <w:pStyle w:val="56"/>
              <w:widowControl/>
              <w:spacing w:beforeLines="0"/>
              <w:ind w:firstLine="480"/>
              <w:rPr>
                <w:rFonts w:hint="default" w:ascii="Times New Roman" w:hAnsi="Times New Roman" w:eastAsia="宋体" w:cs="Times New Roman"/>
                <w:bCs/>
                <w:color w:val="auto"/>
                <w:kern w:val="44"/>
                <w:szCs w:val="24"/>
              </w:rPr>
            </w:pPr>
            <w:r>
              <w:rPr>
                <w:rFonts w:hint="default" w:ascii="Times New Roman" w:hAnsi="Times New Roman" w:eastAsia="宋体" w:cs="Times New Roman"/>
                <w:bCs/>
                <w:color w:val="auto"/>
                <w:kern w:val="44"/>
                <w:szCs w:val="24"/>
              </w:rPr>
              <w:t>本项目劳动定员</w:t>
            </w:r>
            <w:r>
              <w:rPr>
                <w:rFonts w:hint="eastAsia" w:cs="Times New Roman"/>
                <w:bCs/>
                <w:color w:val="auto"/>
                <w:kern w:val="44"/>
                <w:szCs w:val="24"/>
                <w:lang w:val="en-US" w:eastAsia="zh-CN"/>
              </w:rPr>
              <w:t>15</w:t>
            </w:r>
            <w:r>
              <w:rPr>
                <w:rFonts w:hint="default" w:ascii="Times New Roman" w:hAnsi="Times New Roman" w:eastAsia="宋体" w:cs="Times New Roman"/>
                <w:bCs/>
                <w:color w:val="auto"/>
                <w:kern w:val="44"/>
                <w:szCs w:val="24"/>
              </w:rPr>
              <w:t>人，</w:t>
            </w:r>
            <w:r>
              <w:rPr>
                <w:rFonts w:hint="default" w:ascii="Times New Roman" w:hAnsi="Times New Roman" w:eastAsia="宋体" w:cs="Times New Roman"/>
                <w:bCs/>
                <w:color w:val="auto"/>
                <w:kern w:val="44"/>
                <w:szCs w:val="24"/>
                <w:lang w:eastAsia="zh-CN"/>
              </w:rPr>
              <w:t>每</w:t>
            </w:r>
            <w:r>
              <w:rPr>
                <w:rFonts w:hint="eastAsia" w:cs="Times New Roman"/>
                <w:bCs/>
                <w:color w:val="auto"/>
                <w:kern w:val="44"/>
                <w:szCs w:val="24"/>
                <w:lang w:eastAsia="zh-CN"/>
              </w:rPr>
              <w:t>天</w:t>
            </w:r>
            <w:r>
              <w:rPr>
                <w:rFonts w:hint="eastAsia" w:cs="Times New Roman"/>
                <w:bCs/>
                <w:color w:val="auto"/>
                <w:kern w:val="44"/>
                <w:szCs w:val="24"/>
                <w:lang w:val="en-US" w:eastAsia="zh-CN"/>
              </w:rPr>
              <w:t>2</w:t>
            </w:r>
            <w:r>
              <w:rPr>
                <w:rFonts w:hint="default" w:ascii="Times New Roman" w:hAnsi="Times New Roman" w:eastAsia="宋体" w:cs="Times New Roman"/>
                <w:bCs/>
                <w:color w:val="auto"/>
                <w:kern w:val="44"/>
                <w:szCs w:val="24"/>
                <w:lang w:eastAsia="zh-CN"/>
              </w:rPr>
              <w:t>班，</w:t>
            </w:r>
            <w:r>
              <w:rPr>
                <w:rFonts w:hint="default" w:ascii="Times New Roman" w:hAnsi="Times New Roman" w:eastAsia="宋体" w:cs="Times New Roman"/>
                <w:bCs/>
                <w:color w:val="auto"/>
                <w:kern w:val="44"/>
                <w:szCs w:val="24"/>
              </w:rPr>
              <w:t>每</w:t>
            </w:r>
            <w:r>
              <w:rPr>
                <w:rFonts w:hint="default" w:ascii="Times New Roman" w:hAnsi="Times New Roman" w:eastAsia="宋体" w:cs="Times New Roman"/>
                <w:bCs/>
                <w:color w:val="auto"/>
                <w:kern w:val="44"/>
                <w:szCs w:val="24"/>
                <w:lang w:eastAsia="zh-CN"/>
              </w:rPr>
              <w:t>班</w:t>
            </w:r>
            <w:r>
              <w:rPr>
                <w:rFonts w:hint="default" w:ascii="Times New Roman" w:hAnsi="Times New Roman" w:eastAsia="宋体" w:cs="Times New Roman"/>
                <w:bCs/>
                <w:color w:val="auto"/>
                <w:kern w:val="44"/>
                <w:szCs w:val="24"/>
              </w:rPr>
              <w:t>工作</w:t>
            </w:r>
            <w:r>
              <w:rPr>
                <w:rFonts w:hint="eastAsia" w:cs="Times New Roman"/>
                <w:bCs/>
                <w:color w:val="auto"/>
                <w:kern w:val="44"/>
                <w:szCs w:val="24"/>
                <w:lang w:val="en-US" w:eastAsia="zh-CN"/>
              </w:rPr>
              <w:t>8</w:t>
            </w:r>
            <w:r>
              <w:rPr>
                <w:rFonts w:hint="default" w:ascii="Times New Roman" w:hAnsi="Times New Roman" w:eastAsia="宋体" w:cs="Times New Roman"/>
                <w:bCs/>
                <w:color w:val="auto"/>
                <w:kern w:val="44"/>
                <w:szCs w:val="24"/>
              </w:rPr>
              <w:t>小时，年工作</w:t>
            </w:r>
            <w:r>
              <w:rPr>
                <w:rFonts w:hint="eastAsia" w:cs="Times New Roman"/>
                <w:bCs/>
                <w:color w:val="auto"/>
                <w:kern w:val="44"/>
                <w:szCs w:val="24"/>
                <w:lang w:val="en-US" w:eastAsia="zh-CN"/>
              </w:rPr>
              <w:t>300</w:t>
            </w:r>
            <w:r>
              <w:rPr>
                <w:rFonts w:hint="default" w:ascii="Times New Roman" w:hAnsi="Times New Roman" w:eastAsia="宋体" w:cs="Times New Roman"/>
                <w:bCs/>
                <w:color w:val="auto"/>
                <w:kern w:val="44"/>
                <w:szCs w:val="24"/>
              </w:rPr>
              <w:t>天</w:t>
            </w:r>
            <w:r>
              <w:rPr>
                <w:rFonts w:hint="eastAsia" w:cs="Times New Roman"/>
                <w:bCs/>
                <w:color w:val="auto"/>
                <w:kern w:val="44"/>
                <w:szCs w:val="24"/>
                <w:lang w:eastAsia="zh-CN"/>
              </w:rPr>
              <w:t>，包食宿</w:t>
            </w:r>
            <w:r>
              <w:rPr>
                <w:rFonts w:hint="default" w:ascii="Times New Roman" w:hAnsi="Times New Roman" w:eastAsia="宋体" w:cs="Times New Roman"/>
                <w:bCs/>
                <w:color w:val="auto"/>
                <w:kern w:val="44"/>
                <w:szCs w:val="24"/>
              </w:rPr>
              <w:t>。</w:t>
            </w:r>
          </w:p>
          <w:p>
            <w:pPr>
              <w:spacing w:line="360" w:lineRule="auto"/>
              <w:rPr>
                <w:rFonts w:hint="default" w:ascii="Times New Roman" w:hAnsi="Times New Roman" w:eastAsia="宋体" w:cs="Times New Roman"/>
                <w:b/>
                <w:color w:val="auto"/>
                <w:kern w:val="44"/>
                <w:sz w:val="24"/>
                <w:szCs w:val="24"/>
              </w:rPr>
            </w:pPr>
            <w:r>
              <w:rPr>
                <w:rFonts w:hint="eastAsia" w:ascii="Times New Roman" w:hAnsi="Times New Roman" w:eastAsia="宋体" w:cs="Times New Roman"/>
                <w:b/>
                <w:color w:val="auto"/>
                <w:kern w:val="44"/>
                <w:sz w:val="24"/>
                <w:szCs w:val="24"/>
                <w:lang w:val="en-US" w:eastAsia="zh-CN"/>
              </w:rPr>
              <w:t>7</w:t>
            </w:r>
            <w:r>
              <w:rPr>
                <w:rFonts w:hint="default" w:ascii="Times New Roman" w:hAnsi="Times New Roman" w:eastAsia="宋体" w:cs="Times New Roman"/>
                <w:b/>
                <w:color w:val="auto"/>
                <w:kern w:val="44"/>
                <w:sz w:val="24"/>
                <w:szCs w:val="24"/>
              </w:rPr>
              <w:t>、公用工程</w:t>
            </w:r>
          </w:p>
          <w:p>
            <w:pPr>
              <w:spacing w:line="480" w:lineRule="exact"/>
              <w:ind w:firstLine="480" w:firstLineChars="200"/>
              <w:rPr>
                <w:rFonts w:hint="default" w:ascii="Times New Roman" w:hAnsi="Times New Roman" w:eastAsia="宋体" w:cs="Times New Roman"/>
                <w:color w:val="auto"/>
                <w:sz w:val="24"/>
                <w:szCs w:val="24"/>
                <w:lang w:val="en-US"/>
              </w:rPr>
            </w:pPr>
            <w:bookmarkStart w:id="4" w:name="_Toc111734199"/>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bCs/>
                <w:color w:val="auto"/>
                <w:kern w:val="44"/>
                <w:sz w:val="24"/>
                <w:szCs w:val="24"/>
                <w:lang w:val="en-US"/>
              </w:rPr>
              <w:t>供电</w:t>
            </w:r>
            <w:bookmarkEnd w:id="4"/>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本项目用电由市政电网供应</w:t>
            </w:r>
            <w:r>
              <w:rPr>
                <w:rFonts w:hint="default" w:ascii="Times New Roman" w:hAnsi="Times New Roman" w:eastAsia="宋体" w:cs="Times New Roman"/>
                <w:color w:val="auto"/>
                <w:sz w:val="24"/>
                <w:szCs w:val="24"/>
                <w:lang w:eastAsia="zh-CN"/>
              </w:rPr>
              <w:t>，年用量约</w:t>
            </w:r>
            <w:r>
              <w:rPr>
                <w:rFonts w:hint="eastAsia" w:ascii="Times New Roman" w:hAnsi="Times New Roman" w:eastAsia="宋体" w:cs="Times New Roman"/>
                <w:color w:val="auto"/>
                <w:sz w:val="24"/>
                <w:szCs w:val="24"/>
                <w:lang w:val="en-US" w:eastAsia="zh-CN"/>
              </w:rPr>
              <w:t>594.22万度</w:t>
            </w:r>
            <w:r>
              <w:rPr>
                <w:rFonts w:hint="default" w:ascii="Times New Roman" w:hAnsi="Times New Roman" w:eastAsia="宋体" w:cs="Times New Roman"/>
                <w:color w:val="auto"/>
                <w:sz w:val="24"/>
                <w:szCs w:val="24"/>
              </w:rPr>
              <w:t>。</w:t>
            </w:r>
          </w:p>
          <w:p>
            <w:pPr>
              <w:spacing w:line="480" w:lineRule="exact"/>
              <w:ind w:firstLine="480" w:firstLineChars="200"/>
              <w:rPr>
                <w:rFonts w:hint="default" w:ascii="Times New Roman" w:hAnsi="Times New Roman" w:eastAsia="宋体" w:cs="Times New Roman"/>
                <w:bCs/>
                <w:color w:val="auto"/>
                <w:kern w:val="44"/>
                <w:sz w:val="24"/>
                <w:szCs w:val="24"/>
                <w:lang w:val="en-US"/>
              </w:rPr>
            </w:pPr>
            <w:bookmarkStart w:id="5" w:name="_Toc111734200"/>
            <w:r>
              <w:rPr>
                <w:rFonts w:hint="default" w:ascii="Times New Roman" w:hAnsi="Times New Roman" w:eastAsia="宋体" w:cs="Times New Roman"/>
                <w:bCs/>
                <w:color w:val="auto"/>
                <w:kern w:val="44"/>
                <w:sz w:val="24"/>
                <w:szCs w:val="24"/>
                <w:lang w:val="en-US"/>
              </w:rPr>
              <w:t>（</w:t>
            </w:r>
            <w:r>
              <w:rPr>
                <w:rFonts w:hint="eastAsia" w:ascii="Times New Roman" w:hAnsi="Times New Roman" w:eastAsia="宋体" w:cs="Times New Roman"/>
                <w:bCs/>
                <w:color w:val="auto"/>
                <w:kern w:val="44"/>
                <w:sz w:val="24"/>
                <w:szCs w:val="24"/>
                <w:lang w:val="en-US" w:eastAsia="zh-CN"/>
              </w:rPr>
              <w:t>2</w:t>
            </w:r>
            <w:r>
              <w:rPr>
                <w:rFonts w:hint="default" w:ascii="Times New Roman" w:hAnsi="Times New Roman" w:eastAsia="宋体" w:cs="Times New Roman"/>
                <w:bCs/>
                <w:color w:val="auto"/>
                <w:kern w:val="44"/>
                <w:sz w:val="24"/>
                <w:szCs w:val="24"/>
                <w:lang w:val="en-US"/>
              </w:rPr>
              <w:t>）给排水</w:t>
            </w:r>
            <w:bookmarkEnd w:id="5"/>
          </w:p>
          <w:p>
            <w:pPr>
              <w:autoSpaceDE w:val="0"/>
              <w:autoSpaceDN w:val="0"/>
              <w:adjustRightInd w:val="0"/>
              <w:spacing w:line="480" w:lineRule="exact"/>
              <w:ind w:firstLine="480" w:firstLineChars="200"/>
              <w:rPr>
                <w:rFonts w:hint="default" w:ascii="Times New Roman" w:hAnsi="Times New Roman" w:eastAsia="宋体" w:cs="Times New Roman"/>
                <w:bCs/>
                <w:color w:val="auto"/>
                <w:kern w:val="44"/>
                <w:sz w:val="24"/>
                <w:szCs w:val="24"/>
              </w:rPr>
            </w:pPr>
            <w:r>
              <w:rPr>
                <w:rFonts w:hint="default" w:ascii="Times New Roman" w:hAnsi="Times New Roman" w:eastAsia="宋体" w:cs="Times New Roman"/>
                <w:bCs/>
                <w:color w:val="auto"/>
                <w:kern w:val="44"/>
                <w:sz w:val="24"/>
                <w:szCs w:val="24"/>
              </w:rPr>
              <w:fldChar w:fldCharType="begin"/>
            </w:r>
            <w:r>
              <w:rPr>
                <w:rFonts w:hint="default" w:ascii="Times New Roman" w:hAnsi="Times New Roman" w:eastAsia="宋体" w:cs="Times New Roman"/>
                <w:bCs/>
                <w:color w:val="auto"/>
                <w:kern w:val="44"/>
                <w:sz w:val="24"/>
                <w:szCs w:val="24"/>
              </w:rPr>
              <w:instrText xml:space="preserve"> = 1 \* GB3 </w:instrText>
            </w:r>
            <w:r>
              <w:rPr>
                <w:rFonts w:hint="default" w:ascii="Times New Roman" w:hAnsi="Times New Roman" w:eastAsia="宋体" w:cs="Times New Roman"/>
                <w:bCs/>
                <w:color w:val="auto"/>
                <w:kern w:val="44"/>
                <w:sz w:val="24"/>
                <w:szCs w:val="24"/>
              </w:rPr>
              <w:fldChar w:fldCharType="separate"/>
            </w:r>
            <w:r>
              <w:rPr>
                <w:rFonts w:hint="default" w:ascii="Times New Roman" w:hAnsi="Times New Roman" w:eastAsia="宋体" w:cs="Times New Roman"/>
                <w:bCs/>
                <w:color w:val="auto"/>
                <w:kern w:val="44"/>
                <w:sz w:val="24"/>
                <w:szCs w:val="24"/>
              </w:rPr>
              <w:t>①</w:t>
            </w:r>
            <w:r>
              <w:rPr>
                <w:rFonts w:hint="default" w:ascii="Times New Roman" w:hAnsi="Times New Roman" w:eastAsia="宋体" w:cs="Times New Roman"/>
                <w:bCs/>
                <w:color w:val="auto"/>
                <w:kern w:val="44"/>
                <w:sz w:val="24"/>
                <w:szCs w:val="24"/>
              </w:rPr>
              <w:fldChar w:fldCharType="end"/>
            </w:r>
            <w:r>
              <w:rPr>
                <w:rFonts w:hint="default" w:ascii="Times New Roman" w:hAnsi="Times New Roman" w:eastAsia="宋体" w:cs="Times New Roman"/>
                <w:bCs/>
                <w:color w:val="auto"/>
                <w:kern w:val="44"/>
                <w:sz w:val="24"/>
                <w:szCs w:val="24"/>
              </w:rPr>
              <w:t>给水系统</w:t>
            </w:r>
          </w:p>
          <w:p>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44"/>
                <w:sz w:val="24"/>
                <w:szCs w:val="24"/>
              </w:rPr>
              <w:t>本项目用水由市政供水管网供水，项目用水主要为生活用水</w:t>
            </w:r>
            <w:r>
              <w:rPr>
                <w:rFonts w:hint="eastAsia" w:ascii="Times New Roman" w:hAnsi="Times New Roman" w:eastAsia="宋体" w:cs="Times New Roman"/>
                <w:bCs/>
                <w:color w:val="auto"/>
                <w:kern w:val="44"/>
                <w:sz w:val="24"/>
                <w:szCs w:val="24"/>
                <w:lang w:eastAsia="zh-CN"/>
              </w:rPr>
              <w:t>及车辆冲洗水</w:t>
            </w:r>
            <w:r>
              <w:rPr>
                <w:rFonts w:hint="default" w:ascii="Times New Roman" w:hAnsi="Times New Roman" w:eastAsia="宋体" w:cs="Times New Roman"/>
                <w:bCs/>
                <w:color w:val="auto"/>
                <w:kern w:val="44"/>
                <w:sz w:val="24"/>
                <w:szCs w:val="24"/>
              </w:rPr>
              <w:t>。</w:t>
            </w:r>
          </w:p>
          <w:p>
            <w:pPr>
              <w:numPr>
                <w:ilvl w:val="0"/>
                <w:numId w:val="4"/>
              </w:numPr>
              <w:spacing w:line="480" w:lineRule="exact"/>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生活用水</w:t>
            </w:r>
          </w:p>
          <w:p>
            <w:pPr>
              <w:spacing w:line="480" w:lineRule="exact"/>
              <w:ind w:firstLine="480" w:firstLineChars="200"/>
              <w:rPr>
                <w:rFonts w:hint="eastAsia" w:ascii="Times New Roman" w:hAnsi="Times New Roman" w:eastAsia="宋体" w:cs="Times New Roman"/>
                <w:bCs/>
                <w:color w:val="auto"/>
                <w:kern w:val="44"/>
                <w:sz w:val="24"/>
                <w:szCs w:val="24"/>
                <w:lang w:eastAsia="zh-CN"/>
              </w:rPr>
            </w:pPr>
            <w:r>
              <w:rPr>
                <w:rFonts w:hint="default" w:ascii="Times New Roman" w:hAnsi="Times New Roman" w:eastAsia="宋体" w:cs="Times New Roman"/>
                <w:bCs/>
                <w:color w:val="auto"/>
                <w:kern w:val="44"/>
                <w:sz w:val="24"/>
                <w:szCs w:val="24"/>
              </w:rPr>
              <w:t>项目劳动定员</w:t>
            </w:r>
            <w:r>
              <w:rPr>
                <w:rFonts w:hint="eastAsia" w:ascii="Times New Roman" w:hAnsi="Times New Roman" w:eastAsia="宋体" w:cs="Times New Roman"/>
                <w:bCs/>
                <w:color w:val="auto"/>
                <w:kern w:val="44"/>
                <w:sz w:val="24"/>
                <w:szCs w:val="24"/>
                <w:lang w:val="en-US" w:eastAsia="zh-CN"/>
              </w:rPr>
              <w:t>15</w:t>
            </w:r>
            <w:r>
              <w:rPr>
                <w:rFonts w:hint="default" w:ascii="Times New Roman" w:hAnsi="Times New Roman" w:eastAsia="宋体" w:cs="Times New Roman"/>
                <w:bCs/>
                <w:color w:val="auto"/>
                <w:kern w:val="44"/>
                <w:sz w:val="24"/>
                <w:szCs w:val="24"/>
              </w:rPr>
              <w:t>人</w:t>
            </w:r>
            <w:r>
              <w:rPr>
                <w:rFonts w:hint="eastAsia" w:ascii="Times New Roman" w:hAnsi="Times New Roman" w:eastAsia="宋体" w:cs="Times New Roman"/>
                <w:bCs/>
                <w:color w:val="auto"/>
                <w:kern w:val="44"/>
                <w:sz w:val="24"/>
                <w:szCs w:val="24"/>
                <w:lang w:eastAsia="zh-CN"/>
              </w:rPr>
              <w:t>，员工在厂区内住宿，员工</w:t>
            </w:r>
            <w:r>
              <w:rPr>
                <w:rFonts w:hint="default" w:ascii="Times New Roman" w:hAnsi="Times New Roman" w:eastAsia="宋体" w:cs="Times New Roman"/>
                <w:bCs/>
                <w:color w:val="auto"/>
                <w:kern w:val="44"/>
                <w:sz w:val="24"/>
                <w:szCs w:val="24"/>
              </w:rPr>
              <w:t>人均用水量按</w:t>
            </w:r>
            <w:r>
              <w:rPr>
                <w:rFonts w:hint="eastAsia" w:ascii="Times New Roman" w:hAnsi="Times New Roman" w:eastAsia="宋体" w:cs="Times New Roman"/>
                <w:bCs/>
                <w:color w:val="auto"/>
                <w:kern w:val="44"/>
                <w:sz w:val="24"/>
                <w:szCs w:val="24"/>
                <w:lang w:eastAsia="zh-CN"/>
              </w:rPr>
              <w:t>城市居民生活用水</w:t>
            </w:r>
            <w:r>
              <w:rPr>
                <w:rFonts w:hint="eastAsia" w:ascii="Times New Roman" w:hAnsi="Times New Roman" w:eastAsia="宋体" w:cs="Times New Roman"/>
                <w:bCs/>
                <w:color w:val="auto"/>
                <w:kern w:val="44"/>
                <w:sz w:val="24"/>
                <w:szCs w:val="24"/>
                <w:lang w:val="en-US" w:eastAsia="zh-CN"/>
              </w:rPr>
              <w:t>100</w:t>
            </w:r>
            <w:r>
              <w:rPr>
                <w:rFonts w:hint="default" w:ascii="Times New Roman" w:hAnsi="Times New Roman" w:eastAsia="宋体" w:cs="Times New Roman"/>
                <w:bCs/>
                <w:color w:val="auto"/>
                <w:kern w:val="44"/>
                <w:sz w:val="24"/>
                <w:szCs w:val="24"/>
              </w:rPr>
              <w:t>L/人·d</w:t>
            </w:r>
            <w:r>
              <w:rPr>
                <w:rFonts w:hint="eastAsia" w:ascii="Times New Roman" w:hAnsi="Times New Roman" w:eastAsia="宋体" w:cs="Times New Roman"/>
                <w:bCs/>
                <w:color w:val="auto"/>
                <w:kern w:val="44"/>
                <w:sz w:val="24"/>
                <w:szCs w:val="24"/>
                <w:lang w:eastAsia="zh-CN"/>
              </w:rPr>
              <w:t>计算</w:t>
            </w:r>
            <w:r>
              <w:rPr>
                <w:rFonts w:hint="default" w:ascii="Times New Roman" w:hAnsi="Times New Roman" w:eastAsia="宋体" w:cs="Times New Roman"/>
                <w:bCs/>
                <w:color w:val="auto"/>
                <w:kern w:val="44"/>
                <w:sz w:val="24"/>
                <w:szCs w:val="24"/>
              </w:rPr>
              <w:t>，</w:t>
            </w:r>
            <w:r>
              <w:rPr>
                <w:rFonts w:hint="eastAsia" w:ascii="Times New Roman" w:hAnsi="Times New Roman" w:eastAsia="宋体" w:cs="Times New Roman"/>
                <w:bCs/>
                <w:color w:val="auto"/>
                <w:kern w:val="44"/>
                <w:sz w:val="24"/>
                <w:szCs w:val="24"/>
                <w:lang w:eastAsia="zh-CN"/>
              </w:rPr>
              <w:t>项目</w:t>
            </w:r>
            <w:r>
              <w:rPr>
                <w:rFonts w:hint="default" w:ascii="Times New Roman" w:hAnsi="Times New Roman" w:eastAsia="宋体" w:cs="Times New Roman"/>
                <w:bCs/>
                <w:color w:val="auto"/>
                <w:kern w:val="44"/>
                <w:sz w:val="24"/>
                <w:szCs w:val="24"/>
              </w:rPr>
              <w:t>年运行天数为</w:t>
            </w:r>
            <w:r>
              <w:rPr>
                <w:rFonts w:hint="eastAsia" w:ascii="Times New Roman" w:hAnsi="Times New Roman" w:eastAsia="宋体" w:cs="Times New Roman"/>
                <w:bCs/>
                <w:color w:val="auto"/>
                <w:kern w:val="44"/>
                <w:sz w:val="24"/>
                <w:szCs w:val="24"/>
                <w:lang w:val="en-US" w:eastAsia="zh-CN"/>
              </w:rPr>
              <w:t>300</w:t>
            </w:r>
            <w:r>
              <w:rPr>
                <w:rFonts w:hint="default" w:ascii="Times New Roman" w:hAnsi="Times New Roman" w:eastAsia="宋体" w:cs="Times New Roman"/>
                <w:bCs/>
                <w:color w:val="auto"/>
                <w:kern w:val="44"/>
                <w:sz w:val="24"/>
                <w:szCs w:val="24"/>
              </w:rPr>
              <w:t>天，则用水量为</w:t>
            </w:r>
            <w:r>
              <w:rPr>
                <w:rFonts w:hint="eastAsia" w:ascii="Times New Roman" w:hAnsi="Times New Roman" w:eastAsia="宋体" w:cs="Times New Roman"/>
                <w:bCs/>
                <w:color w:val="auto"/>
                <w:kern w:val="44"/>
                <w:sz w:val="24"/>
                <w:szCs w:val="24"/>
                <w:lang w:val="en-US" w:eastAsia="zh-CN"/>
              </w:rPr>
              <w:t>1.5</w:t>
            </w:r>
            <w:r>
              <w:rPr>
                <w:rFonts w:hint="default" w:ascii="Times New Roman" w:hAnsi="Times New Roman" w:eastAsia="宋体" w:cs="Times New Roman"/>
                <w:bCs/>
                <w:color w:val="auto"/>
                <w:kern w:val="44"/>
                <w:sz w:val="24"/>
                <w:szCs w:val="24"/>
              </w:rPr>
              <w:t>m</w:t>
            </w:r>
            <w:r>
              <w:rPr>
                <w:rFonts w:hint="default" w:ascii="Times New Roman" w:hAnsi="Times New Roman" w:eastAsia="宋体" w:cs="Times New Roman"/>
                <w:bCs/>
                <w:color w:val="auto"/>
                <w:kern w:val="44"/>
                <w:sz w:val="24"/>
                <w:szCs w:val="24"/>
                <w:vertAlign w:val="superscript"/>
              </w:rPr>
              <w:t>3</w:t>
            </w:r>
            <w:r>
              <w:rPr>
                <w:rFonts w:hint="default" w:ascii="Times New Roman" w:hAnsi="Times New Roman" w:eastAsia="宋体" w:cs="Times New Roman"/>
                <w:bCs/>
                <w:color w:val="auto"/>
                <w:kern w:val="44"/>
                <w:sz w:val="24"/>
                <w:szCs w:val="24"/>
              </w:rPr>
              <w:t>/d（</w:t>
            </w:r>
            <w:r>
              <w:rPr>
                <w:rFonts w:hint="eastAsia" w:ascii="Times New Roman" w:hAnsi="Times New Roman" w:eastAsia="宋体" w:cs="Times New Roman"/>
                <w:bCs/>
                <w:color w:val="auto"/>
                <w:kern w:val="44"/>
                <w:sz w:val="24"/>
                <w:szCs w:val="24"/>
                <w:lang w:val="en-US" w:eastAsia="zh-CN"/>
              </w:rPr>
              <w:t>450</w:t>
            </w:r>
            <w:r>
              <w:rPr>
                <w:rFonts w:hint="default" w:ascii="Times New Roman" w:hAnsi="Times New Roman" w:eastAsia="宋体" w:cs="Times New Roman"/>
                <w:bCs/>
                <w:color w:val="auto"/>
                <w:kern w:val="44"/>
                <w:sz w:val="24"/>
                <w:szCs w:val="24"/>
              </w:rPr>
              <w:t>m</w:t>
            </w:r>
            <w:r>
              <w:rPr>
                <w:rFonts w:hint="default" w:ascii="Times New Roman" w:hAnsi="Times New Roman" w:eastAsia="宋体" w:cs="Times New Roman"/>
                <w:bCs/>
                <w:color w:val="auto"/>
                <w:kern w:val="44"/>
                <w:sz w:val="24"/>
                <w:szCs w:val="24"/>
                <w:vertAlign w:val="superscript"/>
              </w:rPr>
              <w:t>3</w:t>
            </w:r>
            <w:r>
              <w:rPr>
                <w:rFonts w:hint="default" w:ascii="Times New Roman" w:hAnsi="Times New Roman" w:eastAsia="宋体" w:cs="Times New Roman"/>
                <w:bCs/>
                <w:color w:val="auto"/>
                <w:kern w:val="44"/>
                <w:sz w:val="24"/>
                <w:szCs w:val="24"/>
              </w:rPr>
              <w:t>/a）</w:t>
            </w:r>
            <w:r>
              <w:rPr>
                <w:rFonts w:hint="eastAsia" w:ascii="Times New Roman" w:hAnsi="Times New Roman" w:eastAsia="宋体" w:cs="Times New Roman"/>
                <w:bCs/>
                <w:color w:val="auto"/>
                <w:kern w:val="44"/>
                <w:sz w:val="24"/>
                <w:szCs w:val="24"/>
                <w:lang w:eastAsia="zh-CN"/>
              </w:rPr>
              <w:t>。</w:t>
            </w:r>
          </w:p>
          <w:p>
            <w:pPr>
              <w:spacing w:line="480" w:lineRule="exact"/>
              <w:ind w:firstLine="480" w:firstLineChars="200"/>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2）洒水抑尘用水</w:t>
            </w:r>
          </w:p>
          <w:p>
            <w:pPr>
              <w:spacing w:line="480" w:lineRule="exact"/>
              <w:ind w:firstLine="480" w:firstLineChars="200"/>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项目原料运输车辆进出厂区时会产生少量车辆扬尘，故为减少扬尘产生量，在陆丰管业厂区内运输道路定期洒水抑尘，降低厂区内无组织扬尘产排量。预计厂区道路每天洒水抑尘量为2.5m</w:t>
            </w:r>
            <w:r>
              <w:rPr>
                <w:rFonts w:hint="eastAsia" w:ascii="Times New Roman" w:hAnsi="Times New Roman" w:eastAsia="宋体" w:cs="Times New Roman"/>
                <w:bCs/>
                <w:color w:val="auto"/>
                <w:kern w:val="44"/>
                <w:sz w:val="24"/>
                <w:szCs w:val="24"/>
                <w:vertAlign w:val="superscript"/>
                <w:lang w:val="en-US" w:eastAsia="zh-CN"/>
              </w:rPr>
              <w:t>3</w:t>
            </w:r>
            <w:r>
              <w:rPr>
                <w:rFonts w:hint="eastAsia" w:ascii="Times New Roman" w:hAnsi="Times New Roman" w:eastAsia="宋体" w:cs="Times New Roman"/>
                <w:bCs/>
                <w:color w:val="auto"/>
                <w:kern w:val="44"/>
                <w:sz w:val="24"/>
                <w:szCs w:val="24"/>
                <w:lang w:val="en-US" w:eastAsia="zh-CN"/>
              </w:rPr>
              <w:t>/d（750m</w:t>
            </w:r>
            <w:r>
              <w:rPr>
                <w:rFonts w:hint="eastAsia" w:ascii="Times New Roman" w:hAnsi="Times New Roman" w:eastAsia="宋体" w:cs="Times New Roman"/>
                <w:bCs/>
                <w:color w:val="auto"/>
                <w:kern w:val="44"/>
                <w:sz w:val="24"/>
                <w:szCs w:val="24"/>
                <w:vertAlign w:val="superscript"/>
                <w:lang w:val="en-US" w:eastAsia="zh-CN"/>
              </w:rPr>
              <w:t>3</w:t>
            </w:r>
            <w:r>
              <w:rPr>
                <w:rFonts w:hint="eastAsia" w:ascii="Times New Roman" w:hAnsi="Times New Roman" w:eastAsia="宋体" w:cs="Times New Roman"/>
                <w:bCs/>
                <w:color w:val="auto"/>
                <w:kern w:val="44"/>
                <w:sz w:val="24"/>
                <w:szCs w:val="24"/>
                <w:lang w:val="en-US" w:eastAsia="zh-CN"/>
              </w:rPr>
              <w:t>/a），道路洒水抑尘用水全部蒸发不外排。</w:t>
            </w:r>
          </w:p>
          <w:p>
            <w:pPr>
              <w:spacing w:line="480" w:lineRule="exact"/>
              <w:ind w:firstLine="480" w:firstLineChars="200"/>
              <w:rPr>
                <w:rFonts w:hint="default"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3）车辆冲洗水</w:t>
            </w:r>
          </w:p>
          <w:p>
            <w:pPr>
              <w:numPr>
                <w:ilvl w:val="0"/>
                <w:numId w:val="0"/>
              </w:numPr>
              <w:spacing w:line="480" w:lineRule="exact"/>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年运输原料为51万吨，运输车每次平均30t/辆，则年车辆运送原料次数为17000次，项目年工作300天，合计每天约原料运送次数为57次，则日清洗车辆次数为57次。车辆运送原料完毕出厂房时须冲洗车轮，防止运输车将灰尘带出厂区外，每辆车每次冲洗用水量为20L，则冲洗用水量为1.14t/d（342t/a）。</w:t>
            </w:r>
          </w:p>
          <w:p>
            <w:pPr>
              <w:numPr>
                <w:ilvl w:val="0"/>
                <w:numId w:val="0"/>
              </w:numPr>
              <w:spacing w:line="48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fldChar w:fldCharType="begin"/>
            </w:r>
            <w:r>
              <w:rPr>
                <w:rFonts w:hint="default" w:ascii="Times New Roman" w:hAnsi="Times New Roman" w:eastAsia="宋体" w:cs="Times New Roman"/>
                <w:color w:val="auto"/>
                <w:sz w:val="24"/>
                <w:lang w:val="en-US" w:eastAsia="zh-CN"/>
              </w:rPr>
              <w:instrText xml:space="preserve"> = 2 \* GB3 </w:instrText>
            </w:r>
            <w:r>
              <w:rPr>
                <w:rFonts w:hint="default" w:ascii="Times New Roman" w:hAnsi="Times New Roman" w:eastAsia="宋体" w:cs="Times New Roman"/>
                <w:color w:val="auto"/>
                <w:sz w:val="24"/>
                <w:lang w:val="en-US" w:eastAsia="zh-CN"/>
              </w:rPr>
              <w:fldChar w:fldCharType="separate"/>
            </w:r>
            <w:r>
              <w:rPr>
                <w:rFonts w:hint="default"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lang w:val="en-US" w:eastAsia="zh-CN"/>
              </w:rPr>
              <w:fldChar w:fldCharType="end"/>
            </w:r>
            <w:r>
              <w:rPr>
                <w:rFonts w:hint="default" w:ascii="Times New Roman" w:hAnsi="Times New Roman" w:eastAsia="宋体" w:cs="Times New Roman"/>
                <w:color w:val="auto"/>
                <w:sz w:val="24"/>
                <w:lang w:val="en-US" w:eastAsia="zh-CN"/>
              </w:rPr>
              <w:t>排水系统</w:t>
            </w:r>
          </w:p>
          <w:p>
            <w:pPr>
              <w:numPr>
                <w:ilvl w:val="0"/>
                <w:numId w:val="0"/>
              </w:numPr>
              <w:spacing w:line="480" w:lineRule="exact"/>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1）生活污水</w:t>
            </w:r>
          </w:p>
          <w:p>
            <w:pPr>
              <w:numPr>
                <w:ilvl w:val="0"/>
                <w:numId w:val="0"/>
              </w:numPr>
              <w:spacing w:line="480" w:lineRule="exact"/>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本项目生活用水为450</w:t>
            </w:r>
            <w:r>
              <w:rPr>
                <w:rFonts w:hint="default" w:ascii="Times New Roman" w:hAnsi="Times New Roman" w:eastAsia="宋体" w:cs="Times New Roman"/>
                <w:bCs/>
                <w:color w:val="auto"/>
                <w:kern w:val="44"/>
                <w:sz w:val="24"/>
                <w:szCs w:val="24"/>
              </w:rPr>
              <w:t>m</w:t>
            </w:r>
            <w:r>
              <w:rPr>
                <w:rFonts w:hint="default" w:ascii="Times New Roman" w:hAnsi="Times New Roman" w:eastAsia="宋体" w:cs="Times New Roman"/>
                <w:bCs/>
                <w:color w:val="auto"/>
                <w:kern w:val="44"/>
                <w:sz w:val="24"/>
                <w:szCs w:val="24"/>
                <w:vertAlign w:val="superscript"/>
              </w:rPr>
              <w:t>3</w:t>
            </w:r>
            <w:r>
              <w:rPr>
                <w:rFonts w:hint="default" w:ascii="Times New Roman" w:hAnsi="Times New Roman" w:eastAsia="宋体" w:cs="Times New Roman"/>
                <w:bCs/>
                <w:color w:val="auto"/>
                <w:kern w:val="44"/>
                <w:sz w:val="24"/>
                <w:szCs w:val="24"/>
              </w:rPr>
              <w:t>/a</w:t>
            </w:r>
            <w:r>
              <w:rPr>
                <w:rFonts w:hint="eastAsia" w:ascii="Times New Roman" w:hAnsi="Times New Roman" w:eastAsia="宋体" w:cs="Times New Roman"/>
                <w:color w:val="auto"/>
                <w:sz w:val="24"/>
                <w:lang w:val="en-US" w:eastAsia="zh-CN"/>
              </w:rPr>
              <w:t>，生活用水产污系数按80%计算，则项目生活污水产生量为360</w:t>
            </w:r>
            <w:r>
              <w:rPr>
                <w:rFonts w:hint="default" w:ascii="Times New Roman" w:hAnsi="Times New Roman" w:eastAsia="宋体" w:cs="Times New Roman"/>
                <w:bCs/>
                <w:color w:val="auto"/>
                <w:kern w:val="44"/>
                <w:sz w:val="24"/>
                <w:szCs w:val="24"/>
              </w:rPr>
              <w:t>m</w:t>
            </w:r>
            <w:r>
              <w:rPr>
                <w:rFonts w:hint="default" w:ascii="Times New Roman" w:hAnsi="Times New Roman" w:eastAsia="宋体" w:cs="Times New Roman"/>
                <w:bCs/>
                <w:color w:val="auto"/>
                <w:kern w:val="44"/>
                <w:sz w:val="24"/>
                <w:szCs w:val="24"/>
                <w:vertAlign w:val="superscript"/>
              </w:rPr>
              <w:t>3</w:t>
            </w:r>
            <w:r>
              <w:rPr>
                <w:rFonts w:hint="default" w:ascii="Times New Roman" w:hAnsi="Times New Roman" w:eastAsia="宋体" w:cs="Times New Roman"/>
                <w:bCs/>
                <w:color w:val="auto"/>
                <w:kern w:val="44"/>
                <w:sz w:val="24"/>
                <w:szCs w:val="24"/>
              </w:rPr>
              <w:t>/a</w:t>
            </w:r>
            <w:r>
              <w:rPr>
                <w:rFonts w:hint="eastAsia" w:ascii="Times New Roman" w:hAnsi="Times New Roman" w:eastAsia="宋体" w:cs="Times New Roman"/>
                <w:color w:val="auto"/>
                <w:sz w:val="24"/>
                <w:lang w:val="en-US" w:eastAsia="zh-CN"/>
              </w:rPr>
              <w:t>（1.2</w:t>
            </w:r>
            <w:r>
              <w:rPr>
                <w:rFonts w:hint="default" w:ascii="Times New Roman" w:hAnsi="Times New Roman" w:eastAsia="宋体" w:cs="Times New Roman"/>
                <w:bCs/>
                <w:color w:val="auto"/>
                <w:kern w:val="44"/>
                <w:sz w:val="24"/>
                <w:szCs w:val="24"/>
              </w:rPr>
              <w:t>m</w:t>
            </w:r>
            <w:r>
              <w:rPr>
                <w:rFonts w:hint="default" w:ascii="Times New Roman" w:hAnsi="Times New Roman" w:eastAsia="宋体" w:cs="Times New Roman"/>
                <w:bCs/>
                <w:color w:val="auto"/>
                <w:kern w:val="44"/>
                <w:sz w:val="24"/>
                <w:szCs w:val="24"/>
                <w:vertAlign w:val="superscript"/>
              </w:rPr>
              <w:t>3</w:t>
            </w:r>
            <w:r>
              <w:rPr>
                <w:rFonts w:hint="default" w:ascii="Times New Roman" w:hAnsi="Times New Roman" w:eastAsia="宋体" w:cs="Times New Roman"/>
                <w:bCs/>
                <w:color w:val="auto"/>
                <w:kern w:val="44"/>
                <w:sz w:val="24"/>
                <w:szCs w:val="24"/>
              </w:rPr>
              <w:t>/a</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FF0000"/>
                <w:sz w:val="24"/>
                <w:lang w:val="en-US" w:eastAsia="zh-CN"/>
              </w:rPr>
              <w:t>生活污水经现有隔油池+化粪池预处理后通过生活区自建排口进园区污水管网入高新技术产业园污水处理厂深度处理</w:t>
            </w:r>
            <w:r>
              <w:rPr>
                <w:rFonts w:hint="eastAsia" w:ascii="Times New Roman" w:hAnsi="Times New Roman" w:eastAsia="宋体" w:cs="Times New Roman"/>
                <w:color w:val="auto"/>
                <w:sz w:val="24"/>
                <w:lang w:val="en-US" w:eastAsia="zh-CN"/>
              </w:rPr>
              <w:t>达《城镇污水处理厂污染物排放标准》（GB18918-2002）一级A标准后外排南潦河。</w:t>
            </w:r>
          </w:p>
          <w:p>
            <w:pPr>
              <w:numPr>
                <w:ilvl w:val="0"/>
                <w:numId w:val="0"/>
              </w:numPr>
              <w:spacing w:line="480" w:lineRule="exact"/>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2）车辆冲洗水</w:t>
            </w:r>
          </w:p>
          <w:p>
            <w:pPr>
              <w:numPr>
                <w:ilvl w:val="0"/>
                <w:numId w:val="0"/>
              </w:numPr>
              <w:spacing w:line="480" w:lineRule="exact"/>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每天车辆运送原料次数为57次，每次车辆出厂需冲洗车辆，冲洗水量约为15L次，则每天车辆冲洗水用量为1.14t，废水产生量按0.8计算，则车辆冲洗水产生量为0.912t/d（273.6t/a）。车辆冲洗水经洗车池旁的沉淀池处理后，循环使用不外排。车辆冲洗用水沉淀池需定期清理污泥及补充水量，补充水量为0.228t/d。</w:t>
            </w:r>
          </w:p>
          <w:p>
            <w:pPr>
              <w:numPr>
                <w:ilvl w:val="0"/>
                <w:numId w:val="0"/>
              </w:numPr>
              <w:spacing w:line="480" w:lineRule="exact"/>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3）初期雨水</w:t>
            </w:r>
          </w:p>
          <w:p>
            <w:pPr>
              <w:numPr>
                <w:ilvl w:val="0"/>
                <w:numId w:val="0"/>
              </w:numPr>
              <w:spacing w:line="480" w:lineRule="exact"/>
              <w:ind w:firstLine="480" w:firstLineChars="200"/>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根据《化学工业污水处理与回用设计规范》（GB50684-2011）、《化学建设项目环境保护工程设计标准》（GB/T 50483-2019）及《石油化工给水排水系统涉及规范》明确（SH/T 3015-2019）明确：</w:t>
            </w:r>
          </w:p>
          <w:p>
            <w:pPr>
              <w:numPr>
                <w:ilvl w:val="0"/>
                <w:numId w:val="0"/>
              </w:numPr>
              <w:spacing w:line="480" w:lineRule="exact"/>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初期污染污水量宜按以降雨初期污染雨水总量和调蓄设施的排空时间计算确定，宜采用下式计算：</w:t>
            </w:r>
          </w:p>
          <w:p>
            <w:pPr>
              <w:numPr>
                <w:ilvl w:val="0"/>
                <w:numId w:val="0"/>
              </w:numPr>
              <w:spacing w:line="360" w:lineRule="auto"/>
              <w:ind w:firstLine="420" w:firstLineChars="200"/>
              <w:jc w:val="center"/>
              <w:rPr>
                <w:color w:val="FF0000"/>
              </w:rPr>
            </w:pPr>
            <w:r>
              <w:rPr>
                <w:color w:val="FF0000"/>
              </w:rPr>
              <w:drawing>
                <wp:inline distT="0" distB="0" distL="114300" distR="114300">
                  <wp:extent cx="1504950" cy="5238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1504950" cy="523875"/>
                          </a:xfrm>
                          <a:prstGeom prst="rect">
                            <a:avLst/>
                          </a:prstGeom>
                          <a:noFill/>
                          <a:ln>
                            <a:noFill/>
                          </a:ln>
                        </pic:spPr>
                      </pic:pic>
                    </a:graphicData>
                  </a:graphic>
                </wp:inline>
              </w:drawing>
            </w:r>
          </w:p>
          <w:p>
            <w:pPr>
              <w:numPr>
                <w:ilvl w:val="0"/>
                <w:numId w:val="0"/>
              </w:numPr>
              <w:spacing w:line="480" w:lineRule="exact"/>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式中：</w:t>
            </w:r>
          </w:p>
          <w:p>
            <w:pPr>
              <w:numPr>
                <w:ilvl w:val="0"/>
                <w:numId w:val="0"/>
              </w:numPr>
              <w:spacing w:line="480" w:lineRule="exact"/>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qs--初期污染雨水量（m</w:t>
            </w:r>
            <w:r>
              <w:rPr>
                <w:rFonts w:hint="eastAsia" w:ascii="Times New Roman" w:hAnsi="Times New Roman" w:eastAsia="宋体" w:cs="Times New Roman"/>
                <w:color w:val="FF0000"/>
                <w:sz w:val="24"/>
                <w:vertAlign w:val="superscript"/>
                <w:lang w:val="en-US" w:eastAsia="zh-CN"/>
              </w:rPr>
              <w:t>3</w:t>
            </w:r>
            <w:r>
              <w:rPr>
                <w:rFonts w:hint="eastAsia" w:ascii="Times New Roman" w:hAnsi="Times New Roman" w:eastAsia="宋体" w:cs="Times New Roman"/>
                <w:color w:val="FF0000"/>
                <w:sz w:val="24"/>
                <w:lang w:val="en-US" w:eastAsia="zh-CN"/>
              </w:rPr>
              <w:t>/h）</w:t>
            </w:r>
          </w:p>
          <w:p>
            <w:pPr>
              <w:numPr>
                <w:ilvl w:val="0"/>
                <w:numId w:val="0"/>
              </w:numPr>
              <w:spacing w:line="480" w:lineRule="exact"/>
              <w:ind w:firstLine="480" w:firstLineChars="200"/>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Fs--污染区面积（m</w:t>
            </w:r>
            <w:r>
              <w:rPr>
                <w:rFonts w:hint="eastAsia" w:ascii="Times New Roman" w:hAnsi="Times New Roman" w:eastAsia="宋体" w:cs="Times New Roman"/>
                <w:color w:val="FF0000"/>
                <w:sz w:val="24"/>
                <w:vertAlign w:val="superscript"/>
                <w:lang w:val="en-US" w:eastAsia="zh-CN"/>
              </w:rPr>
              <w:t>3</w:t>
            </w:r>
            <w:r>
              <w:rPr>
                <w:rFonts w:hint="eastAsia" w:ascii="Times New Roman" w:hAnsi="Times New Roman" w:eastAsia="宋体" w:cs="Times New Roman"/>
                <w:color w:val="FF0000"/>
                <w:sz w:val="24"/>
                <w:lang w:val="en-US" w:eastAsia="zh-CN"/>
              </w:rPr>
              <w:t>），5280m</w:t>
            </w:r>
            <w:r>
              <w:rPr>
                <w:rFonts w:hint="eastAsia" w:ascii="Times New Roman" w:hAnsi="Times New Roman" w:eastAsia="宋体" w:cs="Times New Roman"/>
                <w:color w:val="FF0000"/>
                <w:sz w:val="24"/>
                <w:vertAlign w:val="superscript"/>
                <w:lang w:val="en-US" w:eastAsia="zh-CN"/>
              </w:rPr>
              <w:t>2</w:t>
            </w:r>
          </w:p>
          <w:p>
            <w:pPr>
              <w:numPr>
                <w:ilvl w:val="0"/>
                <w:numId w:val="0"/>
              </w:numPr>
              <w:spacing w:line="480" w:lineRule="exact"/>
              <w:ind w:firstLine="480" w:firstLineChars="200"/>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Hs--降雨深（mm），取15mm；</w:t>
            </w:r>
          </w:p>
          <w:p>
            <w:pPr>
              <w:numPr>
                <w:ilvl w:val="0"/>
                <w:numId w:val="0"/>
              </w:numPr>
              <w:spacing w:line="480" w:lineRule="exact"/>
              <w:ind w:firstLine="480" w:firstLineChars="200"/>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ts--初期污染雨水调蓄池排空时间（h），取1h。</w:t>
            </w:r>
          </w:p>
          <w:p>
            <w:pPr>
              <w:numPr>
                <w:ilvl w:val="0"/>
                <w:numId w:val="0"/>
              </w:numPr>
              <w:spacing w:line="480" w:lineRule="exact"/>
              <w:ind w:firstLine="480" w:firstLineChars="200"/>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经计算，初期雨水量为79.2m</w:t>
            </w:r>
            <w:r>
              <w:rPr>
                <w:rFonts w:hint="eastAsia" w:ascii="Times New Roman" w:hAnsi="Times New Roman" w:eastAsia="宋体" w:cs="Times New Roman"/>
                <w:color w:val="FF0000"/>
                <w:sz w:val="24"/>
                <w:vertAlign w:val="superscript"/>
                <w:lang w:val="en-US" w:eastAsia="zh-CN"/>
              </w:rPr>
              <w:t>3</w:t>
            </w:r>
            <w:r>
              <w:rPr>
                <w:rFonts w:hint="eastAsia" w:ascii="Times New Roman" w:hAnsi="Times New Roman" w:eastAsia="宋体" w:cs="Times New Roman"/>
                <w:color w:val="FF0000"/>
                <w:sz w:val="24"/>
                <w:lang w:val="en-US" w:eastAsia="zh-CN"/>
              </w:rPr>
              <w:t>，项目初期雨水汇入厂房西侧雨水收集池后通过水泵抽入厂房洗车池内暂存，经沉淀后用于车辆冲洗和道路洒水抑尘。初期降雨时，将洗车池内水抽入沉淀池内储存，空置洗车池用于储存初期雨水。厂房洗车池占地面积为100m</w:t>
            </w:r>
            <w:r>
              <w:rPr>
                <w:rFonts w:hint="eastAsia" w:ascii="Times New Roman" w:hAnsi="Times New Roman" w:eastAsia="宋体" w:cs="Times New Roman"/>
                <w:color w:val="FF0000"/>
                <w:sz w:val="24"/>
                <w:vertAlign w:val="superscript"/>
                <w:lang w:val="en-US" w:eastAsia="zh-CN"/>
              </w:rPr>
              <w:t>2</w:t>
            </w:r>
            <w:r>
              <w:rPr>
                <w:rFonts w:hint="eastAsia" w:ascii="Times New Roman" w:hAnsi="Times New Roman" w:eastAsia="宋体" w:cs="Times New Roman"/>
                <w:color w:val="FF0000"/>
                <w:sz w:val="24"/>
                <w:lang w:val="en-US" w:eastAsia="zh-CN"/>
              </w:rPr>
              <w:t>，池体深度为1m，池容约为80-100m</w:t>
            </w:r>
            <w:r>
              <w:rPr>
                <w:rFonts w:hint="eastAsia" w:ascii="Times New Roman" w:hAnsi="Times New Roman" w:eastAsia="宋体" w:cs="Times New Roman"/>
                <w:color w:val="FF0000"/>
                <w:sz w:val="24"/>
                <w:vertAlign w:val="superscript"/>
                <w:lang w:val="en-US" w:eastAsia="zh-CN"/>
              </w:rPr>
              <w:t>3</w:t>
            </w:r>
            <w:r>
              <w:rPr>
                <w:rFonts w:hint="eastAsia" w:ascii="Times New Roman" w:hAnsi="Times New Roman" w:eastAsia="宋体" w:cs="Times New Roman"/>
                <w:color w:val="FF0000"/>
                <w:sz w:val="24"/>
                <w:vertAlign w:val="baseline"/>
                <w:lang w:val="en-US" w:eastAsia="zh-CN"/>
              </w:rPr>
              <w:t>，可容纳厂区初期雨水收集储存。初期雨水用于车辆冲洗后通过洗车池旁沉淀池沉淀后回用，同时也可由厂区人员抽离洗车池进行道路洒水降尘。</w:t>
            </w:r>
            <w:r>
              <w:rPr>
                <w:rFonts w:hint="eastAsia" w:ascii="Times New Roman" w:hAnsi="Times New Roman" w:eastAsia="宋体" w:cs="Times New Roman"/>
                <w:color w:val="FF0000"/>
                <w:sz w:val="24"/>
                <w:lang w:val="en-US" w:eastAsia="zh-CN"/>
              </w:rPr>
              <w:t>本项目原料通过加盖苫布的车辆运输至厂房内存放，避免原料运输过程中散落在厂房外。遇降雨天气时，厂房外初期雨水中含有的污染物质基本为悬浮物。项目初期雨水流入厂房西侧雨水收集池后通过水泵抽入厂房洗车池内暂存，沉淀后回用于车辆冲洗及厂区道路洒水抑尘不会造成污染。项目车辆冲洗及洒水抑尘用水量为2.728m</w:t>
            </w:r>
            <w:r>
              <w:rPr>
                <w:rFonts w:hint="eastAsia" w:ascii="Times New Roman" w:hAnsi="Times New Roman" w:eastAsia="宋体" w:cs="Times New Roman"/>
                <w:color w:val="FF0000"/>
                <w:sz w:val="24"/>
                <w:vertAlign w:val="superscript"/>
                <w:lang w:val="en-US" w:eastAsia="zh-CN"/>
              </w:rPr>
              <w:t>3</w:t>
            </w:r>
            <w:r>
              <w:rPr>
                <w:rFonts w:hint="eastAsia" w:ascii="Times New Roman" w:hAnsi="Times New Roman" w:eastAsia="宋体" w:cs="Times New Roman"/>
                <w:color w:val="FF0000"/>
                <w:sz w:val="24"/>
                <w:lang w:val="en-US" w:eastAsia="zh-CN"/>
              </w:rPr>
              <w:t>/d，剩余初期雨水暂存于洗车池内待后续车辆冲洗及洒水抑尘使用。</w:t>
            </w:r>
          </w:p>
          <w:p>
            <w:pPr>
              <w:numPr>
                <w:ilvl w:val="0"/>
                <w:numId w:val="0"/>
              </w:numPr>
              <w:spacing w:line="480" w:lineRule="exact"/>
              <w:ind w:firstLine="480" w:firstLineChars="200"/>
              <w:rPr>
                <w:rFonts w:hint="default"/>
                <w:color w:val="auto"/>
                <w:lang w:val="en-US" w:eastAsia="zh-CN"/>
              </w:rPr>
            </w:pPr>
            <w:r>
              <w:rPr>
                <w:rFonts w:hint="eastAsia" w:ascii="Times New Roman" w:hAnsi="Times New Roman" w:eastAsia="宋体" w:cs="Times New Roman"/>
                <w:color w:val="auto"/>
                <w:sz w:val="24"/>
                <w:lang w:val="en-US" w:eastAsia="zh-CN"/>
              </w:rPr>
              <w:t>初期雨水降雨次数及水量存在极大不确定性，本报告内仅描述初期雨水量及计算工艺，做定性分析，初期雨水量不计入项目水平衡中。</w:t>
            </w:r>
          </w:p>
          <w:p>
            <w:pPr>
              <w:autoSpaceDE w:val="0"/>
              <w:autoSpaceDN w:val="0"/>
              <w:adjustRightInd w:val="0"/>
              <w:snapToGrid w:val="0"/>
              <w:spacing w:line="360" w:lineRule="auto"/>
              <w:jc w:val="center"/>
              <w:rPr>
                <w:rFonts w:hint="default" w:ascii="Times New Roman" w:hAnsi="Times New Roman" w:eastAsia="宋体" w:cs="Times New Roman"/>
                <w:color w:val="auto"/>
                <w:kern w:val="0"/>
                <w:sz w:val="24"/>
                <w:szCs w:val="24"/>
              </w:rPr>
            </w:pPr>
            <w:bookmarkStart w:id="6" w:name="_Toc111734201"/>
            <w:r>
              <w:rPr>
                <w:color w:val="auto"/>
              </w:rPr>
              <w:drawing>
                <wp:inline distT="0" distB="0" distL="114300" distR="114300">
                  <wp:extent cx="3957955" cy="1951990"/>
                  <wp:effectExtent l="0" t="0" r="444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957955" cy="1951990"/>
                          </a:xfrm>
                          <a:prstGeom prst="rect">
                            <a:avLst/>
                          </a:prstGeom>
                          <a:noFill/>
                          <a:ln>
                            <a:noFill/>
                          </a:ln>
                        </pic:spPr>
                      </pic:pic>
                    </a:graphicData>
                  </a:graphic>
                </wp:inline>
              </w:drawing>
            </w:r>
          </w:p>
          <w:p>
            <w:pPr>
              <w:spacing w:line="240" w:lineRule="auto"/>
              <w:ind w:firstLine="422" w:firstLineChars="200"/>
              <w:jc w:val="center"/>
              <w:rPr>
                <w:rFonts w:hint="eastAsia"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rPr>
              <w:t>图2-</w:t>
            </w:r>
            <w:r>
              <w:rPr>
                <w:rFonts w:hint="eastAsia" w:ascii="Times New Roman" w:hAnsi="Times New Roman" w:eastAsia="宋体" w:cs="Times New Roman"/>
                <w:b/>
                <w:bCs/>
                <w:color w:val="auto"/>
                <w:kern w:val="0"/>
                <w:sz w:val="21"/>
                <w:szCs w:val="21"/>
                <w:lang w:val="en-US" w:eastAsia="zh-CN"/>
              </w:rPr>
              <w:t xml:space="preserve">1 </w:t>
            </w:r>
            <w:r>
              <w:rPr>
                <w:rFonts w:hint="default" w:ascii="Times New Roman" w:hAnsi="Times New Roman" w:eastAsia="宋体" w:cs="Times New Roman"/>
                <w:b/>
                <w:bCs/>
                <w:color w:val="auto"/>
                <w:kern w:val="0"/>
                <w:sz w:val="21"/>
                <w:szCs w:val="21"/>
              </w:rPr>
              <w:t>项目水平衡图单位m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w:t>
            </w:r>
            <w:r>
              <w:rPr>
                <w:rFonts w:hint="eastAsia" w:ascii="Times New Roman" w:hAnsi="Times New Roman" w:eastAsia="宋体" w:cs="Times New Roman"/>
                <w:b/>
                <w:bCs/>
                <w:color w:val="auto"/>
                <w:kern w:val="0"/>
                <w:sz w:val="21"/>
                <w:szCs w:val="21"/>
                <w:lang w:val="en-US" w:eastAsia="zh-CN"/>
              </w:rPr>
              <w:t>d</w:t>
            </w:r>
          </w:p>
          <w:p>
            <w:pPr>
              <w:autoSpaceDE w:val="0"/>
              <w:autoSpaceDN w:val="0"/>
              <w:adjustRightInd w:val="0"/>
              <w:spacing w:line="480" w:lineRule="exact"/>
              <w:rPr>
                <w:rFonts w:hint="default" w:ascii="Times New Roman" w:hAnsi="Times New Roman" w:eastAsia="宋体" w:cs="Times New Roman"/>
                <w:b/>
                <w:color w:val="auto"/>
                <w:kern w:val="44"/>
                <w:sz w:val="24"/>
                <w:szCs w:val="24"/>
              </w:rPr>
            </w:pPr>
            <w:r>
              <w:rPr>
                <w:rFonts w:hint="eastAsia" w:ascii="Times New Roman" w:hAnsi="Times New Roman" w:eastAsia="宋体" w:cs="Times New Roman"/>
                <w:b/>
                <w:color w:val="auto"/>
                <w:kern w:val="44"/>
                <w:sz w:val="24"/>
                <w:szCs w:val="24"/>
                <w:lang w:val="en-US" w:eastAsia="zh-CN"/>
              </w:rPr>
              <w:t>8</w:t>
            </w:r>
            <w:r>
              <w:rPr>
                <w:rFonts w:hint="default" w:ascii="Times New Roman" w:hAnsi="Times New Roman" w:eastAsia="宋体" w:cs="Times New Roman"/>
                <w:b/>
                <w:color w:val="auto"/>
                <w:kern w:val="44"/>
                <w:sz w:val="24"/>
                <w:szCs w:val="24"/>
              </w:rPr>
              <w:t>、平面布置</w:t>
            </w:r>
            <w:bookmarkEnd w:id="6"/>
          </w:p>
          <w:p>
            <w:pPr>
              <w:autoSpaceDE w:val="0"/>
              <w:autoSpaceDN w:val="0"/>
              <w:adjustRightInd w:val="0"/>
              <w:spacing w:line="480" w:lineRule="exact"/>
              <w:ind w:firstLine="480" w:firstLineChars="200"/>
              <w:rPr>
                <w:rFonts w:hint="default" w:ascii="Times New Roman" w:hAnsi="Times New Roman" w:eastAsia="宋体" w:cs="Times New Roman"/>
                <w:bCs/>
                <w:color w:val="FF0000"/>
                <w:kern w:val="44"/>
                <w:sz w:val="24"/>
                <w:szCs w:val="24"/>
              </w:rPr>
            </w:pPr>
            <w:r>
              <w:rPr>
                <w:rFonts w:hint="default" w:ascii="Times New Roman" w:hAnsi="Times New Roman" w:eastAsia="宋体" w:cs="Times New Roman"/>
                <w:bCs/>
                <w:color w:val="auto"/>
                <w:kern w:val="44"/>
                <w:sz w:val="24"/>
                <w:szCs w:val="24"/>
                <w:lang w:eastAsia="zh-CN"/>
              </w:rPr>
              <w:t>项目场地</w:t>
            </w:r>
            <w:r>
              <w:rPr>
                <w:rFonts w:hint="eastAsia" w:ascii="Times New Roman" w:hAnsi="Times New Roman" w:eastAsia="宋体" w:cs="Times New Roman"/>
                <w:bCs/>
                <w:color w:val="auto"/>
                <w:kern w:val="44"/>
                <w:sz w:val="24"/>
                <w:szCs w:val="24"/>
                <w:lang w:eastAsia="zh-CN"/>
              </w:rPr>
              <w:t>租赁</w:t>
            </w:r>
            <w:r>
              <w:rPr>
                <w:rFonts w:hint="default" w:ascii="Times New Roman" w:hAnsi="Times New Roman" w:eastAsia="宋体" w:cs="Times New Roman"/>
                <w:bCs/>
                <w:color w:val="auto"/>
                <w:kern w:val="44"/>
                <w:sz w:val="24"/>
                <w:lang w:val="en-US" w:eastAsia="zh-CN"/>
              </w:rPr>
              <w:t>江西省</w:t>
            </w:r>
            <w:r>
              <w:rPr>
                <w:rFonts w:hint="eastAsia" w:ascii="Times New Roman" w:hAnsi="Times New Roman" w:eastAsia="宋体" w:cs="Times New Roman"/>
                <w:bCs/>
                <w:color w:val="auto"/>
                <w:kern w:val="44"/>
                <w:sz w:val="24"/>
                <w:lang w:val="en-US" w:eastAsia="zh-CN"/>
              </w:rPr>
              <w:t>宜春市奉新县高新技术产业园广源路618号陆丰管业9号厂房</w:t>
            </w:r>
            <w:r>
              <w:rPr>
                <w:rFonts w:hint="default" w:ascii="Times New Roman" w:hAnsi="Times New Roman" w:eastAsia="宋体" w:cs="Times New Roman"/>
                <w:bCs/>
                <w:color w:val="auto"/>
                <w:kern w:val="44"/>
                <w:sz w:val="24"/>
                <w:szCs w:val="24"/>
                <w:lang w:eastAsia="zh-CN"/>
              </w:rPr>
              <w:t>，</w:t>
            </w:r>
            <w:r>
              <w:rPr>
                <w:rFonts w:hint="default" w:ascii="Times New Roman" w:hAnsi="Times New Roman" w:eastAsia="宋体" w:cs="Times New Roman"/>
                <w:bCs/>
                <w:color w:val="auto"/>
                <w:kern w:val="44"/>
                <w:sz w:val="24"/>
                <w:szCs w:val="24"/>
              </w:rPr>
              <w:t>项目</w:t>
            </w:r>
            <w:r>
              <w:rPr>
                <w:rFonts w:hint="eastAsia" w:ascii="Times New Roman" w:hAnsi="Times New Roman" w:eastAsia="宋体" w:cs="Times New Roman"/>
                <w:bCs/>
                <w:color w:val="auto"/>
                <w:kern w:val="44"/>
                <w:sz w:val="24"/>
                <w:szCs w:val="24"/>
                <w:lang w:eastAsia="zh-CN"/>
              </w:rPr>
              <w:t>主要建设有生活区及产生厂房。生产</w:t>
            </w:r>
            <w:r>
              <w:rPr>
                <w:rFonts w:hint="default" w:ascii="Times New Roman" w:hAnsi="Times New Roman" w:eastAsia="宋体" w:cs="Times New Roman"/>
                <w:bCs/>
                <w:color w:val="auto"/>
                <w:kern w:val="44"/>
                <w:sz w:val="24"/>
                <w:szCs w:val="24"/>
              </w:rPr>
              <w:t>厂房布置</w:t>
            </w:r>
            <w:r>
              <w:rPr>
                <w:rFonts w:hint="eastAsia" w:ascii="Times New Roman" w:hAnsi="Times New Roman" w:eastAsia="宋体" w:cs="Times New Roman"/>
                <w:bCs/>
                <w:color w:val="auto"/>
                <w:kern w:val="44"/>
                <w:sz w:val="24"/>
                <w:szCs w:val="24"/>
                <w:lang w:eastAsia="zh-CN"/>
              </w:rPr>
              <w:t>主要分为生产区域、原辅材料堆放场、破碎区、洗车池、初期雨水池及其他辅助区域。项目生产厂房及生活区内各区域平面设计符合消防安全要求，生产厂房大门处通道直到生产区域、原辅材料堆放场及洗车池。其他辅助区域均匀分布在生产厂房内，</w:t>
            </w:r>
            <w:r>
              <w:rPr>
                <w:rFonts w:hint="default" w:ascii="Times New Roman" w:hAnsi="Times New Roman" w:eastAsia="宋体" w:cs="Times New Roman"/>
                <w:bCs/>
                <w:color w:val="auto"/>
                <w:kern w:val="44"/>
                <w:sz w:val="24"/>
                <w:szCs w:val="24"/>
              </w:rPr>
              <w:t>便于</w:t>
            </w:r>
            <w:r>
              <w:rPr>
                <w:rFonts w:hint="eastAsia" w:ascii="Times New Roman" w:hAnsi="Times New Roman" w:eastAsia="宋体" w:cs="Times New Roman"/>
                <w:bCs/>
                <w:color w:val="auto"/>
                <w:kern w:val="44"/>
                <w:sz w:val="24"/>
                <w:szCs w:val="24"/>
                <w:lang w:eastAsia="zh-CN"/>
              </w:rPr>
              <w:t>项目生产过程中原辅材料</w:t>
            </w:r>
            <w:r>
              <w:rPr>
                <w:rFonts w:hint="default" w:ascii="Times New Roman" w:hAnsi="Times New Roman" w:eastAsia="宋体" w:cs="Times New Roman"/>
                <w:bCs/>
                <w:color w:val="auto"/>
                <w:kern w:val="44"/>
                <w:sz w:val="24"/>
                <w:szCs w:val="24"/>
              </w:rPr>
              <w:t>运输和生产</w:t>
            </w:r>
            <w:r>
              <w:rPr>
                <w:rFonts w:hint="eastAsia" w:ascii="Times New Roman" w:hAnsi="Times New Roman" w:eastAsia="宋体" w:cs="Times New Roman"/>
                <w:bCs/>
                <w:color w:val="auto"/>
                <w:kern w:val="44"/>
                <w:sz w:val="24"/>
                <w:szCs w:val="24"/>
                <w:lang w:eastAsia="zh-CN"/>
              </w:rPr>
              <w:t>工艺</w:t>
            </w:r>
            <w:r>
              <w:rPr>
                <w:rFonts w:hint="default" w:ascii="Times New Roman" w:hAnsi="Times New Roman" w:eastAsia="宋体" w:cs="Times New Roman"/>
                <w:bCs/>
                <w:color w:val="auto"/>
                <w:kern w:val="44"/>
                <w:sz w:val="24"/>
                <w:szCs w:val="24"/>
              </w:rPr>
              <w:t>管理。</w:t>
            </w:r>
            <w:r>
              <w:rPr>
                <w:rFonts w:hint="eastAsia" w:ascii="Times New Roman" w:hAnsi="Times New Roman" w:eastAsia="宋体" w:cs="Times New Roman"/>
                <w:bCs/>
                <w:color w:val="auto"/>
                <w:kern w:val="44"/>
                <w:sz w:val="24"/>
                <w:szCs w:val="24"/>
                <w:lang w:eastAsia="zh-CN"/>
              </w:rPr>
              <w:t>故</w:t>
            </w:r>
            <w:r>
              <w:rPr>
                <w:rFonts w:hint="default" w:ascii="Times New Roman" w:hAnsi="Times New Roman" w:eastAsia="宋体" w:cs="Times New Roman"/>
                <w:bCs/>
                <w:color w:val="auto"/>
                <w:kern w:val="44"/>
                <w:sz w:val="24"/>
                <w:szCs w:val="24"/>
              </w:rPr>
              <w:t>厂区内部道路布置合理，</w:t>
            </w:r>
            <w:r>
              <w:rPr>
                <w:rFonts w:hint="eastAsia" w:ascii="Times New Roman" w:hAnsi="Times New Roman" w:eastAsia="宋体" w:cs="Times New Roman"/>
                <w:bCs/>
                <w:color w:val="auto"/>
                <w:kern w:val="44"/>
                <w:sz w:val="24"/>
                <w:szCs w:val="24"/>
                <w:lang w:eastAsia="zh-CN"/>
              </w:rPr>
              <w:t>结构设计</w:t>
            </w:r>
            <w:r>
              <w:rPr>
                <w:rFonts w:hint="default" w:ascii="Times New Roman" w:hAnsi="Times New Roman" w:eastAsia="宋体" w:cs="Times New Roman"/>
                <w:bCs/>
                <w:color w:val="auto"/>
                <w:kern w:val="44"/>
                <w:sz w:val="24"/>
                <w:szCs w:val="24"/>
              </w:rPr>
              <w:t>科学</w:t>
            </w:r>
            <w:r>
              <w:rPr>
                <w:rFonts w:hint="eastAsia" w:ascii="Times New Roman" w:hAnsi="Times New Roman" w:eastAsia="宋体" w:cs="Times New Roman"/>
                <w:bCs/>
                <w:color w:val="auto"/>
                <w:kern w:val="44"/>
                <w:sz w:val="24"/>
                <w:szCs w:val="24"/>
                <w:lang w:eastAsia="zh-CN"/>
              </w:rPr>
              <w:t>，</w:t>
            </w:r>
            <w:r>
              <w:rPr>
                <w:rFonts w:hint="default" w:ascii="Times New Roman" w:hAnsi="Times New Roman" w:eastAsia="宋体" w:cs="Times New Roman"/>
                <w:bCs/>
                <w:color w:val="auto"/>
                <w:kern w:val="44"/>
                <w:sz w:val="24"/>
                <w:szCs w:val="24"/>
              </w:rPr>
              <w:t>使得各个分区之间联系紧密</w:t>
            </w:r>
            <w:r>
              <w:rPr>
                <w:rFonts w:hint="eastAsia" w:ascii="Times New Roman" w:hAnsi="Times New Roman" w:eastAsia="宋体" w:cs="Times New Roman"/>
                <w:bCs/>
                <w:color w:val="auto"/>
                <w:kern w:val="44"/>
                <w:sz w:val="24"/>
                <w:szCs w:val="24"/>
                <w:lang w:eastAsia="zh-CN"/>
              </w:rPr>
              <w:t>。生活区域位于生产厂房西侧约</w:t>
            </w:r>
            <w:r>
              <w:rPr>
                <w:rFonts w:hint="eastAsia" w:ascii="Times New Roman" w:hAnsi="Times New Roman" w:eastAsia="宋体" w:cs="Times New Roman"/>
                <w:bCs/>
                <w:color w:val="auto"/>
                <w:kern w:val="44"/>
                <w:sz w:val="24"/>
                <w:szCs w:val="24"/>
                <w:lang w:val="en-US" w:eastAsia="zh-CN"/>
              </w:rPr>
              <w:t>50m，陆丰管业厂区内道路发达，故项目生产厂房及生活区</w:t>
            </w:r>
            <w:r>
              <w:rPr>
                <w:rFonts w:hint="default" w:ascii="Times New Roman" w:hAnsi="Times New Roman" w:eastAsia="宋体" w:cs="Times New Roman"/>
                <w:bCs/>
                <w:color w:val="auto"/>
                <w:kern w:val="44"/>
                <w:sz w:val="24"/>
                <w:szCs w:val="24"/>
              </w:rPr>
              <w:t>整体布局</w:t>
            </w:r>
            <w:r>
              <w:rPr>
                <w:rFonts w:hint="eastAsia" w:ascii="Times New Roman" w:hAnsi="Times New Roman" w:eastAsia="宋体" w:cs="Times New Roman"/>
                <w:bCs/>
                <w:color w:val="auto"/>
                <w:kern w:val="44"/>
                <w:sz w:val="24"/>
                <w:szCs w:val="24"/>
                <w:lang w:eastAsia="zh-CN"/>
              </w:rPr>
              <w:t>规划合理，</w:t>
            </w:r>
            <w:r>
              <w:rPr>
                <w:rFonts w:hint="default" w:ascii="Times New Roman" w:hAnsi="Times New Roman" w:eastAsia="宋体" w:cs="Times New Roman"/>
                <w:bCs/>
                <w:color w:val="auto"/>
                <w:kern w:val="44"/>
                <w:sz w:val="24"/>
                <w:szCs w:val="24"/>
              </w:rPr>
              <w:t>能满足生产需求</w:t>
            </w:r>
            <w:r>
              <w:rPr>
                <w:rFonts w:hint="default" w:ascii="Times New Roman" w:hAnsi="Times New Roman" w:eastAsia="宋体" w:cs="Times New Roman"/>
                <w:bCs/>
                <w:color w:val="auto"/>
                <w:kern w:val="44"/>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642" w:type="dxa"/>
            <w:tcBorders>
              <w:top w:val="single" w:color="auto" w:sz="4" w:space="0"/>
              <w:left w:val="single" w:color="auto" w:sz="8" w:space="0"/>
              <w:bottom w:val="single" w:color="auto" w:sz="4" w:space="0"/>
              <w:right w:val="single" w:color="auto" w:sz="4" w:space="0"/>
            </w:tcBorders>
            <w:vAlign w:val="center"/>
          </w:tcPr>
          <w:p>
            <w:pPr>
              <w:pStyle w:val="38"/>
              <w:adjustRightInd w:val="0"/>
              <w:snapToGrid w:val="0"/>
              <w:spacing w:before="0" w:beforeAutospacing="0" w:after="0" w:afterAutospacing="0"/>
              <w:rPr>
                <w:rFonts w:hint="default" w:ascii="Times New Roman" w:hAnsi="Times New Roman" w:eastAsia="宋体" w:cs="Times New Roman"/>
                <w:bCs/>
                <w:color w:val="auto"/>
                <w:sz w:val="22"/>
              </w:rPr>
            </w:pPr>
            <w:r>
              <w:rPr>
                <w:rFonts w:hint="default" w:ascii="Times New Roman" w:hAnsi="Times New Roman" w:eastAsia="宋体" w:cs="Times New Roman"/>
                <w:color w:val="auto"/>
                <w:szCs w:val="24"/>
              </w:rPr>
              <w:t>工艺流程和产排污环节</w:t>
            </w:r>
          </w:p>
        </w:tc>
        <w:tc>
          <w:tcPr>
            <w:tcW w:w="9554" w:type="dxa"/>
            <w:tcBorders>
              <w:top w:val="single" w:color="auto" w:sz="4" w:space="0"/>
              <w:left w:val="single" w:color="auto" w:sz="4" w:space="0"/>
              <w:bottom w:val="single" w:color="auto" w:sz="4" w:space="0"/>
              <w:right w:val="single" w:color="auto" w:sz="8" w:space="0"/>
            </w:tcBorders>
          </w:tcPr>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1、生产工艺流程及产污节点</w:t>
            </w:r>
          </w:p>
          <w:p>
            <w:pPr>
              <w:spacing w:line="240" w:lineRule="auto"/>
              <w:ind w:firstLine="480" w:firstLineChars="200"/>
              <w:rPr>
                <w:rFonts w:hint="default" w:ascii="Times New Roman" w:hAnsi="Times New Roman" w:eastAsia="宋体" w:cs="Times New Roman"/>
                <w:color w:val="auto"/>
                <w:sz w:val="28"/>
                <w:szCs w:val="28"/>
                <w:lang w:eastAsia="zh-CN"/>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bCs/>
                <w:color w:val="auto"/>
                <w:kern w:val="44"/>
                <w:sz w:val="24"/>
                <w:szCs w:val="24"/>
                <w:lang w:eastAsia="zh-CN"/>
              </w:rPr>
              <w:t>天然石膏</w:t>
            </w:r>
            <w:r>
              <w:rPr>
                <w:rFonts w:hint="eastAsia" w:ascii="Times New Roman" w:hAnsi="Times New Roman" w:eastAsia="宋体" w:cs="Times New Roman"/>
                <w:bCs/>
                <w:color w:val="auto"/>
                <w:kern w:val="44"/>
                <w:sz w:val="24"/>
                <w:szCs w:val="24"/>
                <w:lang w:val="en-US" w:eastAsia="zh-CN"/>
              </w:rPr>
              <w:t>生产工艺流程图</w:t>
            </w:r>
            <w:r>
              <w:rPr>
                <w:rFonts w:hint="eastAsia" w:ascii="Times New Roman" w:hAnsi="Times New Roman" w:eastAsia="宋体" w:cs="Times New Roman"/>
                <w:bCs/>
                <w:color w:val="auto"/>
                <w:kern w:val="44"/>
                <w:sz w:val="24"/>
                <w:szCs w:val="24"/>
                <w:lang w:eastAsia="zh-CN"/>
              </w:rPr>
              <w:t>如下</w:t>
            </w:r>
            <w:r>
              <w:rPr>
                <w:rFonts w:hint="default" w:ascii="Times New Roman" w:hAnsi="Times New Roman" w:eastAsia="宋体" w:cs="Times New Roman"/>
                <w:color w:val="auto"/>
                <w:sz w:val="28"/>
                <w:szCs w:val="28"/>
                <w:lang w:eastAsia="zh-CN"/>
              </w:rPr>
              <w:t>：</w:t>
            </w:r>
          </w:p>
          <w:p>
            <w:pPr>
              <w:pStyle w:val="34"/>
              <w:jc w:val="center"/>
              <w:rPr>
                <w:color w:val="auto"/>
              </w:rPr>
            </w:pPr>
            <w:r>
              <w:drawing>
                <wp:inline distT="0" distB="0" distL="114300" distR="114300">
                  <wp:extent cx="3665220" cy="3648710"/>
                  <wp:effectExtent l="0" t="0" r="11430" b="889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9"/>
                          <a:stretch>
                            <a:fillRect/>
                          </a:stretch>
                        </pic:blipFill>
                        <pic:spPr>
                          <a:xfrm>
                            <a:off x="0" y="0"/>
                            <a:ext cx="3665220" cy="3648710"/>
                          </a:xfrm>
                          <a:prstGeom prst="rect">
                            <a:avLst/>
                          </a:prstGeom>
                          <a:noFill/>
                          <a:ln>
                            <a:noFill/>
                          </a:ln>
                        </pic:spPr>
                      </pic:pic>
                    </a:graphicData>
                  </a:graphic>
                </wp:inline>
              </w:drawing>
            </w:r>
          </w:p>
          <w:p>
            <w:pPr>
              <w:spacing w:line="240" w:lineRule="auto"/>
              <w:ind w:firstLine="422" w:firstLineChars="20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eastAsia="zh-CN"/>
              </w:rPr>
              <w:t>图</w:t>
            </w:r>
            <w:r>
              <w:rPr>
                <w:rFonts w:hint="eastAsia" w:ascii="Times New Roman" w:hAnsi="Times New Roman" w:eastAsia="宋体" w:cs="Times New Roman"/>
                <w:b/>
                <w:bCs/>
                <w:color w:val="auto"/>
                <w:kern w:val="0"/>
                <w:sz w:val="21"/>
                <w:szCs w:val="21"/>
                <w:lang w:val="en-US" w:eastAsia="zh-CN"/>
              </w:rPr>
              <w:t>2-2 项目天然石膏生产工艺流程图及产污环节图</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工艺流程说明：</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外运原料：项目原料天然石膏从源头企业收购后，通过车辆运输至奉新县高新技术产业园陆丰管业厂房内本项目生产厂房。原料运输过程中全程通过国道及省道进行运输，运输过程中运输车辆减速行驶、避开人员密集区域及车辆加盖毡布。项目建设方拟对车辆进出厂区运输道路每日进行洒水抑尘及对车辆进行冲洗，减少车辆运输时扬尘的产生。该过程会产生</w:t>
            </w:r>
            <w:r>
              <w:rPr>
                <w:rFonts w:hint="eastAsia" w:ascii="Times New Roman" w:hAnsi="Times New Roman" w:eastAsia="宋体" w:cs="Times New Roman"/>
                <w:color w:val="auto"/>
                <w:sz w:val="24"/>
                <w:szCs w:val="24"/>
                <w:lang w:val="en-US" w:eastAsia="zh-CN"/>
              </w:rPr>
              <w:t>W1车辆冲洗水、W2洒水抑尘用水、N设备噪声。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原料堆放：本项目原料天然石膏经车辆运至生产厂房原料堆场进行堆放，项目生产厂房为钢结构建筑，除进出车辆口外为密闭厂房，可有效减少堆场原料卸料堆放过程中粉尘无组织排放量。该过程会产生G1堆场卸料粉尘及N设备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破碎：项目外购原材料天然石膏体积较大，无法同其他原料一同进入研磨工序。因此需单独对天然石膏原料进行破碎工序，将天然石膏运至破碎区域，利用锤式破碎机及鄂式破碎机先后对大块天然石膏进行破碎，直至天然石膏破碎成粒径较小的粉状颗粒。</w:t>
            </w:r>
            <w:r>
              <w:rPr>
                <w:rFonts w:hint="eastAsia" w:ascii="Times New Roman" w:hAnsi="Times New Roman" w:eastAsia="宋体" w:cs="Times New Roman"/>
                <w:color w:val="FF0000"/>
                <w:sz w:val="24"/>
                <w:szCs w:val="24"/>
                <w:lang w:val="en-US" w:eastAsia="zh-CN"/>
              </w:rPr>
              <w:t>破碎后的天然石膏无需进行筛分，可直接原料仓进行投料工序。</w:t>
            </w:r>
            <w:r>
              <w:rPr>
                <w:rFonts w:hint="eastAsia" w:ascii="Times New Roman" w:hAnsi="Times New Roman" w:eastAsia="宋体" w:cs="Times New Roman"/>
                <w:color w:val="auto"/>
                <w:sz w:val="24"/>
                <w:szCs w:val="24"/>
                <w:lang w:val="en-US" w:eastAsia="zh-CN"/>
              </w:rPr>
              <w:t>该过程中会产生G2破碎粉尘及N设备噪声。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（4）投料：破碎后的天然石膏原料通过铲车运输至投料机料斗内存放，通过皮带密闭输送至后续生产工艺。该过程中会产生G3投料粉尘及N设备噪声。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研磨：原料料斗内的原料通过密闭输送进入研磨及内进行研磨工序，在密闭设备中原材料研磨至购置方所需细度后通过密闭管道输送至不同成品罐内进行储存。研磨设备内粉尘经设备自带脉冲除尘器处理外排。此过程会产生G4研磨粉尘及N设备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（6）成品贮存：研磨后的成品天然石膏粉输送至成品罐内储存，成品罐为密闭罐体，</w:t>
            </w:r>
            <w:r>
              <w:rPr>
                <w:rFonts w:hint="eastAsia" w:ascii="Times New Roman" w:hAnsi="Times New Roman" w:eastAsia="宋体" w:cs="Times New Roman"/>
                <w:bCs/>
                <w:color w:val="auto"/>
                <w:kern w:val="44"/>
                <w:sz w:val="24"/>
                <w:szCs w:val="24"/>
                <w:lang w:val="en-US" w:eastAsia="zh-CN"/>
              </w:rPr>
              <w:t>除成品打包口外，仅在罐体顶部设有一处透气口（罐体自带除尘设备）。</w:t>
            </w:r>
            <w:r>
              <w:rPr>
                <w:rFonts w:hint="eastAsia" w:ascii="Times New Roman" w:hAnsi="Times New Roman" w:eastAsia="宋体" w:cs="Times New Roman"/>
                <w:color w:val="auto"/>
                <w:sz w:val="24"/>
                <w:szCs w:val="24"/>
                <w:lang w:val="en-US" w:eastAsia="zh-CN"/>
              </w:rPr>
              <w:t>成品罐内产生的逸散粉尘通过罐体自带的除尘设备处理后无组织排放。此过程会产生G5成品罐粉尘及N设备噪声。</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吨包外售、密闭车辆打包外售：根据业主方提供的资料可知约95%的项目成品通过管道输送至密闭车辆内打包外售。该部分成品打包过程中无打包粉尘产生。剩余5%项目成品通过打包机进行吨包处理，吨包结束后通过运输车辆外售。此过程会产生G6打包粉尘、S1废包装材料及N设备噪声。</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（2）氟石膏、石灰石生产工艺流程图如下：</w:t>
            </w:r>
          </w:p>
          <w:p>
            <w:pPr>
              <w:spacing w:line="360" w:lineRule="auto"/>
              <w:ind w:firstLine="420" w:firstLineChars="200"/>
              <w:jc w:val="center"/>
            </w:pPr>
            <w:r>
              <w:drawing>
                <wp:inline distT="0" distB="0" distL="114300" distR="114300">
                  <wp:extent cx="3684270" cy="2802255"/>
                  <wp:effectExtent l="0" t="0" r="11430" b="1714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0"/>
                          <a:stretch>
                            <a:fillRect/>
                          </a:stretch>
                        </pic:blipFill>
                        <pic:spPr>
                          <a:xfrm>
                            <a:off x="0" y="0"/>
                            <a:ext cx="3684270" cy="2802255"/>
                          </a:xfrm>
                          <a:prstGeom prst="rect">
                            <a:avLst/>
                          </a:prstGeom>
                          <a:noFill/>
                          <a:ln>
                            <a:noFill/>
                          </a:ln>
                        </pic:spPr>
                      </pic:pic>
                    </a:graphicData>
                  </a:graphic>
                </wp:inline>
              </w:drawing>
            </w:r>
          </w:p>
          <w:p>
            <w:pPr>
              <w:spacing w:line="240" w:lineRule="auto"/>
              <w:ind w:firstLine="422" w:firstLineChars="20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图2-3 项目氟石膏及石灰石生产工艺流程图及产污环节图</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工艺流程说明：</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外运原料：项目原料氟石膏及石灰石从源头企业收购后，通过车辆运输至奉新县高新技术产业园陆丰管业厂房内本项目生产厂房。原料运输过程中全程通过国道及省道进行运输，运输过程中运输车辆减速行驶、避开人员密集区域及车辆加盖毡布。项目建设方拟对车辆进出厂区运输道路每日进行洒水抑尘及对车辆进行冲洗，减少车辆运输时扬尘的产生。该过程会产生</w:t>
            </w:r>
            <w:r>
              <w:rPr>
                <w:rFonts w:hint="eastAsia" w:ascii="Times New Roman" w:hAnsi="Times New Roman" w:eastAsia="宋体" w:cs="Times New Roman"/>
                <w:color w:val="auto"/>
                <w:sz w:val="24"/>
                <w:szCs w:val="24"/>
                <w:lang w:val="en-US" w:eastAsia="zh-CN"/>
              </w:rPr>
              <w:t>W1车辆冲洗水、W2洒水抑尘用水、N设备噪声。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原料堆放：本项目原料氟石膏及石灰石经车辆运至生产厂房原料堆场进行堆放，项目生产厂房为钢结构建筑，除进出车辆口外为密闭厂房，可有效减少堆场原料卸料堆放过程中粉尘无组织排放量。该过程会产生G1堆场卸料粉尘及N设备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（3）投料：氟石膏及石灰石原料通过铲车运输至投料机料斗内存放，通过皮带密闭输送至后续生产工艺。该过程中会产生G3投料粉尘及N设备噪声。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研磨：原料料斗内的原料通过密闭输送进入研磨及内进行研磨工序，在密闭设备中原材料研磨至购置方所需细度后通过密闭管道输送至不同成品罐内进行储存。研磨设备内粉尘经设备自带脉冲除尘器处理外排。此过程会产生G4研磨粉尘及N设备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（5）成品贮存：研磨后的成品氟石膏粉及碳酸钙输送至不同成品罐内储存，成品罐为密闭罐体，</w:t>
            </w:r>
            <w:r>
              <w:rPr>
                <w:rFonts w:hint="eastAsia" w:ascii="Times New Roman" w:hAnsi="Times New Roman" w:eastAsia="宋体" w:cs="Times New Roman"/>
                <w:bCs/>
                <w:color w:val="auto"/>
                <w:kern w:val="44"/>
                <w:sz w:val="24"/>
                <w:szCs w:val="24"/>
                <w:lang w:val="en-US" w:eastAsia="zh-CN"/>
              </w:rPr>
              <w:t>除成品打包口外，仅在罐体顶部设有一处透气口（罐体自带除尘设备）。</w:t>
            </w:r>
            <w:r>
              <w:rPr>
                <w:rFonts w:hint="eastAsia" w:ascii="Times New Roman" w:hAnsi="Times New Roman" w:eastAsia="宋体" w:cs="Times New Roman"/>
                <w:color w:val="auto"/>
                <w:sz w:val="24"/>
                <w:szCs w:val="24"/>
                <w:lang w:val="en-US" w:eastAsia="zh-CN"/>
              </w:rPr>
              <w:t>成品罐内产生的逸散粉尘通过罐体自带的除尘设备处理后无组织排放。此过程会产生G5成品罐粉尘及N设备噪声。</w:t>
            </w:r>
          </w:p>
          <w:p>
            <w:pPr>
              <w:spacing w:line="360" w:lineRule="auto"/>
              <w:ind w:firstLine="480" w:firstLineChars="200"/>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color w:val="auto"/>
                <w:sz w:val="24"/>
                <w:szCs w:val="24"/>
                <w:lang w:val="en-US" w:eastAsia="zh-CN"/>
              </w:rPr>
              <w:t>（6）吨包外售、密闭车辆打包外售：根据业主方提供的资料可知约95%的项目成品通过管道输送至密闭车辆内打包外售。该部分成品打包过程中无打包粉尘产生。剩余5%项目成品通过打包机进行吨包处理，吨包结束后通过运输车辆外售。此过程会产生G6打包粉尘、S1废包装材料及N设备噪声。</w:t>
            </w:r>
          </w:p>
          <w:p>
            <w:pPr>
              <w:numPr>
                <w:ilvl w:val="0"/>
                <w:numId w:val="5"/>
              </w:num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产污环节情况</w:t>
            </w:r>
          </w:p>
          <w:p>
            <w:pPr>
              <w:spacing w:line="360" w:lineRule="auto"/>
              <w:ind w:firstLine="561"/>
              <w:jc w:val="left"/>
              <w:rPr>
                <w:rFonts w:hint="default" w:ascii="Times New Roman" w:hAnsi="Times New Roman" w:eastAsia="宋体" w:cs="Times New Roman"/>
                <w:b/>
                <w:color w:val="auto"/>
                <w:kern w:val="44"/>
                <w:sz w:val="21"/>
                <w:szCs w:val="21"/>
                <w:lang w:eastAsia="zh-CN"/>
              </w:rPr>
            </w:pPr>
            <w:bookmarkStart w:id="7" w:name="_Toc111734208"/>
            <w:r>
              <w:rPr>
                <w:rFonts w:hint="default" w:ascii="Times New Roman" w:hAnsi="Times New Roman" w:eastAsia="宋体" w:cs="Times New Roman"/>
                <w:color w:val="auto"/>
                <w:sz w:val="24"/>
                <w:szCs w:val="24"/>
              </w:rPr>
              <w:t>本项目产污环节见下表所示。</w:t>
            </w:r>
            <w:bookmarkEnd w:id="7"/>
            <w:bookmarkStart w:id="8" w:name="_Toc111734209"/>
          </w:p>
          <w:p>
            <w:pPr>
              <w:numPr>
                <w:ilvl w:val="0"/>
                <w:numId w:val="0"/>
              </w:numPr>
              <w:tabs>
                <w:tab w:val="left" w:pos="0"/>
              </w:tabs>
              <w:adjustRightInd w:val="0"/>
              <w:snapToGrid w:val="0"/>
              <w:spacing w:line="240" w:lineRule="auto"/>
              <w:ind w:left="403" w:leftChars="0"/>
              <w:jc w:val="center"/>
              <w:rPr>
                <w:rFonts w:hint="default" w:ascii="Times New Roman" w:hAnsi="Times New Roman" w:eastAsia="宋体" w:cs="Times New Roman"/>
                <w:b/>
                <w:color w:val="auto"/>
                <w:kern w:val="44"/>
                <w:sz w:val="21"/>
                <w:szCs w:val="21"/>
              </w:rPr>
            </w:pPr>
            <w:r>
              <w:rPr>
                <w:rFonts w:hint="default" w:ascii="Times New Roman" w:hAnsi="Times New Roman" w:eastAsia="宋体" w:cs="Times New Roman"/>
                <w:b/>
                <w:color w:val="auto"/>
                <w:kern w:val="44"/>
                <w:sz w:val="21"/>
                <w:szCs w:val="21"/>
                <w:lang w:eastAsia="zh-CN"/>
              </w:rPr>
              <w:t>表</w:t>
            </w:r>
            <w:r>
              <w:rPr>
                <w:rFonts w:hint="default" w:ascii="Times New Roman" w:hAnsi="Times New Roman" w:eastAsia="宋体" w:cs="Times New Roman"/>
                <w:b/>
                <w:color w:val="auto"/>
                <w:kern w:val="44"/>
                <w:sz w:val="21"/>
                <w:szCs w:val="21"/>
                <w:lang w:val="en-US" w:eastAsia="zh-CN"/>
              </w:rPr>
              <w:t>2</w:t>
            </w:r>
            <w:r>
              <w:rPr>
                <w:rFonts w:hint="eastAsia" w:ascii="Times New Roman" w:hAnsi="Times New Roman" w:eastAsia="宋体" w:cs="Times New Roman"/>
                <w:b/>
                <w:color w:val="auto"/>
                <w:kern w:val="44"/>
                <w:sz w:val="21"/>
                <w:szCs w:val="21"/>
                <w:lang w:val="en-US" w:eastAsia="zh-CN"/>
              </w:rPr>
              <w:t xml:space="preserve">-8 </w:t>
            </w:r>
            <w:r>
              <w:rPr>
                <w:rFonts w:hint="default" w:ascii="Times New Roman" w:hAnsi="Times New Roman" w:eastAsia="宋体" w:cs="Times New Roman"/>
                <w:b/>
                <w:color w:val="auto"/>
                <w:kern w:val="44"/>
                <w:sz w:val="21"/>
                <w:szCs w:val="21"/>
              </w:rPr>
              <w:t>产污环节一览表</w:t>
            </w:r>
            <w:bookmarkEnd w:id="8"/>
          </w:p>
          <w:tbl>
            <w:tblPr>
              <w:tblStyle w:val="57"/>
              <w:tblW w:w="9457" w:type="dxa"/>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688"/>
              <w:gridCol w:w="1686"/>
              <w:gridCol w:w="914"/>
              <w:gridCol w:w="3160"/>
              <w:gridCol w:w="1944"/>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97" w:type="dxa"/>
                  <w:gridSpan w:val="2"/>
                  <w:vAlign w:val="center"/>
                </w:tcPr>
                <w:p>
                  <w:pPr>
                    <w:spacing w:line="340" w:lineRule="atLeas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rPr>
                    <w:t>主要污染源</w:t>
                  </w:r>
                </w:p>
              </w:tc>
              <w:tc>
                <w:tcPr>
                  <w:tcW w:w="1686" w:type="dxa"/>
                  <w:vAlign w:val="center"/>
                </w:tcPr>
                <w:p>
                  <w:pPr>
                    <w:spacing w:line="340" w:lineRule="atLeast"/>
                    <w:jc w:val="center"/>
                    <w:rPr>
                      <w:rFonts w:hint="default" w:ascii="Times New Roman" w:hAnsi="Times New Roman" w:eastAsia="宋体" w:cs="Times New Roman"/>
                      <w:b/>
                      <w:color w:val="auto"/>
                    </w:rPr>
                  </w:pPr>
                  <w:r>
                    <w:rPr>
                      <w:rFonts w:hint="default" w:ascii="Times New Roman" w:hAnsi="Times New Roman" w:eastAsia="宋体" w:cs="Times New Roman"/>
                      <w:b/>
                      <w:color w:val="auto"/>
                      <w:lang w:eastAsia="zh-CN"/>
                    </w:rPr>
                    <w:t>生产工序</w:t>
                  </w:r>
                </w:p>
              </w:tc>
              <w:tc>
                <w:tcPr>
                  <w:tcW w:w="914" w:type="dxa"/>
                  <w:vAlign w:val="center"/>
                </w:tcPr>
                <w:p>
                  <w:pPr>
                    <w:spacing w:line="340" w:lineRule="atLeast"/>
                    <w:jc w:val="center"/>
                    <w:rPr>
                      <w:rFonts w:hint="eastAsia" w:ascii="Times New Roman" w:hAnsi="Times New Roman" w:eastAsia="宋体" w:cs="Times New Roman"/>
                      <w:b/>
                      <w:color w:val="auto"/>
                      <w:lang w:eastAsia="zh-CN"/>
                    </w:rPr>
                  </w:pPr>
                  <w:r>
                    <w:rPr>
                      <w:rFonts w:hint="eastAsia" w:ascii="Times New Roman" w:hAnsi="Times New Roman" w:eastAsia="宋体" w:cs="Times New Roman"/>
                      <w:b/>
                      <w:color w:val="auto"/>
                      <w:lang w:eastAsia="zh-CN"/>
                    </w:rPr>
                    <w:t>污染物名称</w:t>
                  </w:r>
                </w:p>
              </w:tc>
              <w:tc>
                <w:tcPr>
                  <w:tcW w:w="3160" w:type="dxa"/>
                  <w:vAlign w:val="center"/>
                </w:tcPr>
                <w:p>
                  <w:pPr>
                    <w:spacing w:line="340" w:lineRule="atLeas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污染物</w:t>
                  </w:r>
                  <w:r>
                    <w:rPr>
                      <w:rFonts w:hint="default" w:ascii="Times New Roman" w:hAnsi="Times New Roman" w:eastAsia="宋体" w:cs="Times New Roman"/>
                      <w:b/>
                      <w:color w:val="auto"/>
                      <w:lang w:eastAsia="zh-CN"/>
                    </w:rPr>
                    <w:t>产生情况</w:t>
                  </w:r>
                </w:p>
              </w:tc>
              <w:tc>
                <w:tcPr>
                  <w:tcW w:w="1944" w:type="dxa"/>
                  <w:vAlign w:val="center"/>
                </w:tcPr>
                <w:p>
                  <w:pPr>
                    <w:spacing w:line="340" w:lineRule="atLeast"/>
                    <w:jc w:val="center"/>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污染</w:t>
                  </w:r>
                  <w:r>
                    <w:rPr>
                      <w:rFonts w:hint="eastAsia" w:ascii="Times New Roman" w:hAnsi="Times New Roman" w:eastAsia="宋体" w:cs="Times New Roman"/>
                      <w:b/>
                      <w:color w:val="auto"/>
                      <w:lang w:eastAsia="zh-CN"/>
                    </w:rPr>
                    <w:t>因子</w:t>
                  </w:r>
                </w:p>
              </w:tc>
              <w:tc>
                <w:tcPr>
                  <w:tcW w:w="656" w:type="dxa"/>
                  <w:vAlign w:val="center"/>
                </w:tcPr>
                <w:p>
                  <w:pPr>
                    <w:spacing w:line="340" w:lineRule="atLeas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restart"/>
                  <w:vAlign w:val="center"/>
                </w:tcPr>
                <w:p>
                  <w:pPr>
                    <w:spacing w:line="340" w:lineRule="atLeast"/>
                    <w:jc w:val="center"/>
                    <w:rPr>
                      <w:rFonts w:hint="default" w:ascii="Times New Roman" w:hAnsi="Times New Roman" w:eastAsia="宋体" w:cs="Times New Roman"/>
                      <w:color w:val="auto"/>
                      <w:lang w:eastAsia="zh-CN"/>
                    </w:rPr>
                  </w:pPr>
                </w:p>
              </w:tc>
              <w:tc>
                <w:tcPr>
                  <w:tcW w:w="688" w:type="dxa"/>
                  <w:vMerge w:val="restart"/>
                  <w:vAlign w:val="center"/>
                </w:tcPr>
                <w:p>
                  <w:pPr>
                    <w:spacing w:line="340" w:lineRule="atLeast"/>
                    <w:jc w:val="center"/>
                    <w:rPr>
                      <w:rFonts w:hint="default" w:ascii="Times New Roman" w:hAnsi="Times New Roman" w:eastAsia="宋体" w:cs="Times New Roman"/>
                      <w:color w:val="auto"/>
                    </w:rPr>
                  </w:pPr>
                </w:p>
              </w:tc>
              <w:tc>
                <w:tcPr>
                  <w:tcW w:w="1686" w:type="dxa"/>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卸料堆放</w:t>
                  </w:r>
                </w:p>
              </w:tc>
              <w:tc>
                <w:tcPr>
                  <w:tcW w:w="914" w:type="dxa"/>
                  <w:vAlign w:val="center"/>
                </w:tcPr>
                <w:p>
                  <w:pPr>
                    <w:spacing w:line="34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G1</w:t>
                  </w:r>
                </w:p>
              </w:tc>
              <w:tc>
                <w:tcPr>
                  <w:tcW w:w="3160" w:type="dxa"/>
                  <w:vAlign w:val="center"/>
                </w:tcPr>
                <w:p>
                  <w:pPr>
                    <w:spacing w:line="340" w:lineRule="atLeas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原料卸料堆放时产生的粉尘</w:t>
                  </w:r>
                </w:p>
              </w:tc>
              <w:tc>
                <w:tcPr>
                  <w:tcW w:w="1944" w:type="dxa"/>
                  <w:vAlign w:val="center"/>
                </w:tcPr>
                <w:p>
                  <w:pPr>
                    <w:spacing w:line="340" w:lineRule="atLeas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颗粒物、氟化物</w:t>
                  </w:r>
                </w:p>
              </w:tc>
              <w:tc>
                <w:tcPr>
                  <w:tcW w:w="656" w:type="dxa"/>
                  <w:vMerge w:val="restart"/>
                  <w:tcMar>
                    <w:top w:w="0" w:type="dxa"/>
                    <w:left w:w="0" w:type="dxa"/>
                    <w:bottom w:w="0" w:type="dxa"/>
                    <w:right w:w="0" w:type="dxa"/>
                  </w:tcMar>
                  <w:vAlign w:val="center"/>
                </w:tcPr>
                <w:p>
                  <w:pPr>
                    <w:spacing w:line="340" w:lineRule="atLeast"/>
                    <w:jc w:val="center"/>
                    <w:rPr>
                      <w:rFonts w:hint="eastAsia"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continue"/>
                  <w:vAlign w:val="center"/>
                </w:tcPr>
                <w:p>
                  <w:pPr>
                    <w:spacing w:line="340" w:lineRule="atLeast"/>
                    <w:jc w:val="center"/>
                    <w:rPr>
                      <w:rFonts w:hint="default" w:ascii="Times New Roman" w:hAnsi="Times New Roman" w:eastAsia="宋体" w:cs="Times New Roman"/>
                      <w:color w:val="auto"/>
                      <w:lang w:eastAsia="zh-CN"/>
                    </w:rPr>
                  </w:pPr>
                </w:p>
              </w:tc>
              <w:tc>
                <w:tcPr>
                  <w:tcW w:w="688" w:type="dxa"/>
                  <w:vMerge w:val="continue"/>
                  <w:vAlign w:val="center"/>
                </w:tcPr>
                <w:p>
                  <w:pPr>
                    <w:spacing w:line="340" w:lineRule="atLeast"/>
                    <w:jc w:val="center"/>
                    <w:rPr>
                      <w:rFonts w:hint="default" w:ascii="Times New Roman" w:hAnsi="Times New Roman" w:eastAsia="宋体" w:cs="Times New Roman"/>
                      <w:color w:val="auto"/>
                    </w:rPr>
                  </w:pPr>
                </w:p>
              </w:tc>
              <w:tc>
                <w:tcPr>
                  <w:tcW w:w="1686" w:type="dxa"/>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破碎工序</w:t>
                  </w:r>
                </w:p>
              </w:tc>
              <w:tc>
                <w:tcPr>
                  <w:tcW w:w="914" w:type="dxa"/>
                  <w:vAlign w:val="center"/>
                </w:tcPr>
                <w:p>
                  <w:pPr>
                    <w:spacing w:line="34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G2</w:t>
                  </w:r>
                </w:p>
              </w:tc>
              <w:tc>
                <w:tcPr>
                  <w:tcW w:w="3160" w:type="dxa"/>
                  <w:vAlign w:val="center"/>
                </w:tcPr>
                <w:p>
                  <w:pPr>
                    <w:spacing w:line="340" w:lineRule="atLeas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天然石膏破碎时产生的粉尘</w:t>
                  </w:r>
                </w:p>
              </w:tc>
              <w:tc>
                <w:tcPr>
                  <w:tcW w:w="1944" w:type="dxa"/>
                  <w:vAlign w:val="center"/>
                </w:tcPr>
                <w:p>
                  <w:pPr>
                    <w:spacing w:line="340" w:lineRule="atLeas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656" w:type="dxa"/>
                  <w:vMerge w:val="continue"/>
                  <w:tcMar>
                    <w:top w:w="0" w:type="dxa"/>
                    <w:left w:w="0" w:type="dxa"/>
                    <w:bottom w:w="0" w:type="dxa"/>
                    <w:right w:w="0" w:type="dxa"/>
                  </w:tcMar>
                  <w:vAlign w:val="center"/>
                </w:tcPr>
                <w:p>
                  <w:pPr>
                    <w:spacing w:line="340" w:lineRule="atLeast"/>
                    <w:jc w:val="center"/>
                    <w:rPr>
                      <w:rFonts w:hint="default" w:ascii="Times New Roman" w:hAnsi="Times New Roman" w:eastAsia="宋体" w:cs="Times New Roman"/>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continue"/>
                  <w:vAlign w:val="center"/>
                </w:tcPr>
                <w:p>
                  <w:pPr>
                    <w:spacing w:line="340" w:lineRule="atLeast"/>
                    <w:jc w:val="center"/>
                    <w:rPr>
                      <w:rFonts w:hint="default" w:ascii="Times New Roman" w:hAnsi="Times New Roman" w:eastAsia="宋体" w:cs="Times New Roman"/>
                      <w:color w:val="auto"/>
                      <w:lang w:eastAsia="zh-CN"/>
                    </w:rPr>
                  </w:pPr>
                </w:p>
              </w:tc>
              <w:tc>
                <w:tcPr>
                  <w:tcW w:w="688" w:type="dxa"/>
                  <w:vMerge w:val="continue"/>
                  <w:vAlign w:val="center"/>
                </w:tcPr>
                <w:p>
                  <w:pPr>
                    <w:spacing w:line="340" w:lineRule="atLeast"/>
                    <w:jc w:val="center"/>
                    <w:rPr>
                      <w:rFonts w:hint="default" w:ascii="Times New Roman" w:hAnsi="Times New Roman" w:eastAsia="宋体" w:cs="Times New Roman"/>
                      <w:color w:val="auto"/>
                    </w:rPr>
                  </w:pPr>
                </w:p>
              </w:tc>
              <w:tc>
                <w:tcPr>
                  <w:tcW w:w="1686" w:type="dxa"/>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投料工序</w:t>
                  </w:r>
                </w:p>
              </w:tc>
              <w:tc>
                <w:tcPr>
                  <w:tcW w:w="914" w:type="dxa"/>
                  <w:vAlign w:val="center"/>
                </w:tcPr>
                <w:p>
                  <w:pPr>
                    <w:spacing w:line="34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G3</w:t>
                  </w:r>
                </w:p>
              </w:tc>
              <w:tc>
                <w:tcPr>
                  <w:tcW w:w="3160" w:type="dxa"/>
                  <w:vAlign w:val="center"/>
                </w:tcPr>
                <w:p>
                  <w:pPr>
                    <w:spacing w:line="340" w:lineRule="atLeas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原料投料过程中产生的粉尘</w:t>
                  </w:r>
                </w:p>
              </w:tc>
              <w:tc>
                <w:tcPr>
                  <w:tcW w:w="1944" w:type="dxa"/>
                  <w:vAlign w:val="center"/>
                </w:tcPr>
                <w:p>
                  <w:pPr>
                    <w:spacing w:line="340" w:lineRule="atLeas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颗粒物、氟化物</w:t>
                  </w:r>
                </w:p>
              </w:tc>
              <w:tc>
                <w:tcPr>
                  <w:tcW w:w="656" w:type="dxa"/>
                  <w:vMerge w:val="continue"/>
                  <w:tcMar>
                    <w:top w:w="0" w:type="dxa"/>
                    <w:left w:w="0" w:type="dxa"/>
                    <w:bottom w:w="0" w:type="dxa"/>
                    <w:right w:w="0" w:type="dxa"/>
                  </w:tcMar>
                  <w:vAlign w:val="center"/>
                </w:tcPr>
                <w:p>
                  <w:pPr>
                    <w:spacing w:line="340" w:lineRule="atLeast"/>
                    <w:jc w:val="center"/>
                    <w:rPr>
                      <w:rFonts w:hint="default" w:ascii="Times New Roman" w:hAnsi="Times New Roman" w:eastAsia="宋体" w:cs="Times New Roman"/>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continue"/>
                  <w:vAlign w:val="center"/>
                </w:tcPr>
                <w:p>
                  <w:pPr>
                    <w:spacing w:line="340" w:lineRule="atLeast"/>
                    <w:jc w:val="center"/>
                    <w:rPr>
                      <w:rFonts w:hint="default" w:ascii="Times New Roman" w:hAnsi="Times New Roman" w:eastAsia="宋体" w:cs="Times New Roman"/>
                      <w:color w:val="auto"/>
                      <w:lang w:eastAsia="zh-CN"/>
                    </w:rPr>
                  </w:pPr>
                </w:p>
              </w:tc>
              <w:tc>
                <w:tcPr>
                  <w:tcW w:w="688" w:type="dxa"/>
                  <w:vMerge w:val="continue"/>
                  <w:vAlign w:val="center"/>
                </w:tcPr>
                <w:p>
                  <w:pPr>
                    <w:spacing w:line="340" w:lineRule="atLeast"/>
                    <w:jc w:val="center"/>
                    <w:rPr>
                      <w:rFonts w:hint="default" w:ascii="Times New Roman" w:hAnsi="Times New Roman" w:eastAsia="宋体" w:cs="Times New Roman"/>
                      <w:color w:val="auto"/>
                    </w:rPr>
                  </w:pPr>
                </w:p>
              </w:tc>
              <w:tc>
                <w:tcPr>
                  <w:tcW w:w="1686" w:type="dxa"/>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研磨工序</w:t>
                  </w:r>
                </w:p>
              </w:tc>
              <w:tc>
                <w:tcPr>
                  <w:tcW w:w="914" w:type="dxa"/>
                  <w:vAlign w:val="center"/>
                </w:tcPr>
                <w:p>
                  <w:pPr>
                    <w:spacing w:line="34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G4</w:t>
                  </w:r>
                </w:p>
              </w:tc>
              <w:tc>
                <w:tcPr>
                  <w:tcW w:w="3160" w:type="dxa"/>
                  <w:vAlign w:val="center"/>
                </w:tcPr>
                <w:p>
                  <w:pPr>
                    <w:spacing w:line="340" w:lineRule="atLeas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原料研磨过程中产生的粉尘</w:t>
                  </w:r>
                </w:p>
              </w:tc>
              <w:tc>
                <w:tcPr>
                  <w:tcW w:w="1944" w:type="dxa"/>
                  <w:vAlign w:val="center"/>
                </w:tcPr>
                <w:p>
                  <w:pPr>
                    <w:spacing w:line="340" w:lineRule="atLeas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颗粒物、氟化物</w:t>
                  </w:r>
                </w:p>
              </w:tc>
              <w:tc>
                <w:tcPr>
                  <w:tcW w:w="656" w:type="dxa"/>
                  <w:vMerge w:val="continue"/>
                  <w:tcMar>
                    <w:top w:w="0" w:type="dxa"/>
                    <w:left w:w="0" w:type="dxa"/>
                    <w:bottom w:w="0" w:type="dxa"/>
                    <w:right w:w="0" w:type="dxa"/>
                  </w:tcMar>
                  <w:vAlign w:val="center"/>
                </w:tcPr>
                <w:p>
                  <w:pPr>
                    <w:spacing w:line="340" w:lineRule="atLeast"/>
                    <w:jc w:val="center"/>
                    <w:rPr>
                      <w:rFonts w:hint="default" w:ascii="Times New Roman" w:hAnsi="Times New Roman" w:eastAsia="宋体" w:cs="Times New Roman"/>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continue"/>
                  <w:vAlign w:val="center"/>
                </w:tcPr>
                <w:p>
                  <w:pPr>
                    <w:spacing w:line="340" w:lineRule="atLeast"/>
                    <w:jc w:val="center"/>
                    <w:rPr>
                      <w:rFonts w:hint="default" w:ascii="Times New Roman" w:hAnsi="Times New Roman" w:eastAsia="宋体" w:cs="Times New Roman"/>
                      <w:color w:val="auto"/>
                    </w:rPr>
                  </w:pPr>
                </w:p>
              </w:tc>
              <w:tc>
                <w:tcPr>
                  <w:tcW w:w="688" w:type="dxa"/>
                  <w:vMerge w:val="continue"/>
                  <w:vAlign w:val="center"/>
                </w:tcPr>
                <w:p>
                  <w:pPr>
                    <w:spacing w:line="340" w:lineRule="atLeast"/>
                    <w:jc w:val="center"/>
                    <w:rPr>
                      <w:rFonts w:hint="default" w:ascii="Times New Roman" w:hAnsi="Times New Roman" w:eastAsia="宋体" w:cs="Times New Roman"/>
                      <w:color w:val="auto"/>
                    </w:rPr>
                  </w:pPr>
                </w:p>
              </w:tc>
              <w:tc>
                <w:tcPr>
                  <w:tcW w:w="1686" w:type="dxa"/>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成品贮存</w:t>
                  </w:r>
                </w:p>
              </w:tc>
              <w:tc>
                <w:tcPr>
                  <w:tcW w:w="914" w:type="dxa"/>
                  <w:vAlign w:val="center"/>
                </w:tcPr>
                <w:p>
                  <w:pPr>
                    <w:spacing w:line="34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G5</w:t>
                  </w:r>
                </w:p>
              </w:tc>
              <w:tc>
                <w:tcPr>
                  <w:tcW w:w="3160" w:type="dxa"/>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各成品进入成品罐内产生的粉尘</w:t>
                  </w:r>
                </w:p>
              </w:tc>
              <w:tc>
                <w:tcPr>
                  <w:tcW w:w="1944" w:type="dxa"/>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颗粒物、氟化物</w:t>
                  </w:r>
                </w:p>
              </w:tc>
              <w:tc>
                <w:tcPr>
                  <w:tcW w:w="656" w:type="dxa"/>
                  <w:vMerge w:val="continue"/>
                  <w:tcMar>
                    <w:top w:w="0" w:type="dxa"/>
                    <w:left w:w="0" w:type="dxa"/>
                    <w:bottom w:w="0" w:type="dxa"/>
                    <w:right w:w="0" w:type="dxa"/>
                  </w:tcMar>
                  <w:vAlign w:val="center"/>
                </w:tcPr>
                <w:p>
                  <w:pPr>
                    <w:spacing w:line="340" w:lineRule="atLeast"/>
                    <w:jc w:val="center"/>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continue"/>
                  <w:vAlign w:val="center"/>
                </w:tcPr>
                <w:p>
                  <w:pPr>
                    <w:spacing w:line="340" w:lineRule="atLeast"/>
                    <w:jc w:val="center"/>
                    <w:rPr>
                      <w:rFonts w:hint="default" w:ascii="Times New Roman" w:hAnsi="Times New Roman" w:eastAsia="宋体" w:cs="Times New Roman"/>
                      <w:color w:val="auto"/>
                    </w:rPr>
                  </w:pPr>
                </w:p>
              </w:tc>
              <w:tc>
                <w:tcPr>
                  <w:tcW w:w="688" w:type="dxa"/>
                  <w:vMerge w:val="continue"/>
                  <w:vAlign w:val="center"/>
                </w:tcPr>
                <w:p>
                  <w:pPr>
                    <w:spacing w:line="340" w:lineRule="atLeast"/>
                    <w:jc w:val="center"/>
                    <w:rPr>
                      <w:rFonts w:hint="default" w:ascii="Times New Roman" w:hAnsi="Times New Roman" w:eastAsia="宋体" w:cs="Times New Roman"/>
                      <w:color w:val="auto"/>
                    </w:rPr>
                  </w:pPr>
                </w:p>
              </w:tc>
              <w:tc>
                <w:tcPr>
                  <w:tcW w:w="1686" w:type="dxa"/>
                  <w:vAlign w:val="center"/>
                </w:tcPr>
                <w:p>
                  <w:pPr>
                    <w:spacing w:line="340" w:lineRule="atLeast"/>
                    <w:jc w:val="cente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eastAsia="zh-CN"/>
                    </w:rPr>
                    <w:t>打包工序</w:t>
                  </w:r>
                </w:p>
              </w:tc>
              <w:tc>
                <w:tcPr>
                  <w:tcW w:w="914" w:type="dxa"/>
                  <w:vAlign w:val="center"/>
                </w:tcPr>
                <w:p>
                  <w:pPr>
                    <w:spacing w:line="340" w:lineRule="atLeast"/>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G6</w:t>
                  </w:r>
                </w:p>
              </w:tc>
              <w:tc>
                <w:tcPr>
                  <w:tcW w:w="3160" w:type="dxa"/>
                  <w:vAlign w:val="center"/>
                </w:tcPr>
                <w:p>
                  <w:pPr>
                    <w:spacing w:line="340" w:lineRule="atLeast"/>
                    <w:jc w:val="cente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eastAsia="zh-CN"/>
                    </w:rPr>
                    <w:t>成品打包过程中产生的粉尘</w:t>
                  </w:r>
                </w:p>
              </w:tc>
              <w:tc>
                <w:tcPr>
                  <w:tcW w:w="1944" w:type="dxa"/>
                  <w:vAlign w:val="center"/>
                </w:tcPr>
                <w:p>
                  <w:pPr>
                    <w:spacing w:line="340" w:lineRule="atLeast"/>
                    <w:jc w:val="cente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eastAsia="zh-CN"/>
                    </w:rPr>
                    <w:t>颗粒物、氟化物</w:t>
                  </w:r>
                </w:p>
              </w:tc>
              <w:tc>
                <w:tcPr>
                  <w:tcW w:w="656" w:type="dxa"/>
                  <w:vMerge w:val="continue"/>
                  <w:tcMar>
                    <w:top w:w="0" w:type="dxa"/>
                    <w:left w:w="0" w:type="dxa"/>
                    <w:bottom w:w="0" w:type="dxa"/>
                    <w:right w:w="0" w:type="dxa"/>
                  </w:tcMar>
                  <w:vAlign w:val="center"/>
                </w:tcPr>
                <w:p>
                  <w:pPr>
                    <w:spacing w:line="340" w:lineRule="atLeast"/>
                    <w:jc w:val="center"/>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continue"/>
                  <w:vAlign w:val="center"/>
                </w:tcPr>
                <w:p>
                  <w:pPr>
                    <w:spacing w:line="340" w:lineRule="atLeast"/>
                    <w:jc w:val="center"/>
                    <w:rPr>
                      <w:rFonts w:hint="default" w:ascii="Times New Roman" w:hAnsi="Times New Roman" w:eastAsia="宋体" w:cs="Times New Roman"/>
                      <w:color w:val="auto"/>
                    </w:rPr>
                  </w:pPr>
                </w:p>
              </w:tc>
              <w:tc>
                <w:tcPr>
                  <w:tcW w:w="688" w:type="dxa"/>
                  <w:vMerge w:val="continue"/>
                  <w:vAlign w:val="center"/>
                </w:tcPr>
                <w:p>
                  <w:pPr>
                    <w:spacing w:line="340" w:lineRule="atLeast"/>
                    <w:jc w:val="center"/>
                    <w:rPr>
                      <w:rFonts w:hint="default" w:ascii="Times New Roman" w:hAnsi="Times New Roman" w:eastAsia="宋体" w:cs="Times New Roman"/>
                      <w:color w:val="auto"/>
                    </w:rPr>
                  </w:pPr>
                </w:p>
              </w:tc>
              <w:tc>
                <w:tcPr>
                  <w:tcW w:w="1686" w:type="dxa"/>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食堂油烟</w:t>
                  </w:r>
                </w:p>
              </w:tc>
              <w:tc>
                <w:tcPr>
                  <w:tcW w:w="914" w:type="dxa"/>
                  <w:vAlign w:val="center"/>
                </w:tcPr>
                <w:p>
                  <w:pPr>
                    <w:spacing w:line="34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G7</w:t>
                  </w:r>
                </w:p>
              </w:tc>
              <w:tc>
                <w:tcPr>
                  <w:tcW w:w="3160" w:type="dxa"/>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食堂油烟</w:t>
                  </w:r>
                </w:p>
              </w:tc>
              <w:tc>
                <w:tcPr>
                  <w:tcW w:w="1944" w:type="dxa"/>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食堂油烟</w:t>
                  </w:r>
                </w:p>
              </w:tc>
              <w:tc>
                <w:tcPr>
                  <w:tcW w:w="656" w:type="dxa"/>
                  <w:vMerge w:val="continue"/>
                  <w:tcMar>
                    <w:top w:w="0" w:type="dxa"/>
                    <w:left w:w="0" w:type="dxa"/>
                    <w:bottom w:w="0" w:type="dxa"/>
                    <w:right w:w="0" w:type="dxa"/>
                  </w:tcMar>
                  <w:vAlign w:val="center"/>
                </w:tcPr>
                <w:p>
                  <w:pPr>
                    <w:spacing w:line="340" w:lineRule="atLeast"/>
                    <w:jc w:val="center"/>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09" w:type="dxa"/>
                  <w:vMerge w:val="continue"/>
                  <w:vAlign w:val="center"/>
                </w:tcPr>
                <w:p>
                  <w:pPr>
                    <w:spacing w:line="340" w:lineRule="atLeast"/>
                    <w:jc w:val="center"/>
                    <w:rPr>
                      <w:rFonts w:hint="default" w:ascii="Times New Roman" w:hAnsi="Times New Roman" w:eastAsia="宋体" w:cs="Times New Roman"/>
                      <w:color w:val="auto"/>
                    </w:rPr>
                  </w:pPr>
                </w:p>
              </w:tc>
              <w:tc>
                <w:tcPr>
                  <w:tcW w:w="688" w:type="dxa"/>
                  <w:vMerge w:val="restart"/>
                  <w:vAlign w:val="center"/>
                </w:tcPr>
                <w:p>
                  <w:pPr>
                    <w:spacing w:line="3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废水</w:t>
                  </w:r>
                </w:p>
              </w:tc>
              <w:tc>
                <w:tcPr>
                  <w:tcW w:w="1686" w:type="dxa"/>
                  <w:vAlign w:val="center"/>
                </w:tcPr>
                <w:p>
                  <w:pPr>
                    <w:spacing w:line="340" w:lineRule="atLeast"/>
                    <w:jc w:val="center"/>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洗车池</w:t>
                  </w:r>
                </w:p>
              </w:tc>
              <w:tc>
                <w:tcPr>
                  <w:tcW w:w="914" w:type="dxa"/>
                  <w:vAlign w:val="center"/>
                </w:tcPr>
                <w:p>
                  <w:pPr>
                    <w:spacing w:line="34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W1</w:t>
                  </w:r>
                </w:p>
              </w:tc>
              <w:tc>
                <w:tcPr>
                  <w:tcW w:w="3160" w:type="dxa"/>
                  <w:vAlign w:val="center"/>
                </w:tcPr>
                <w:p>
                  <w:pPr>
                    <w:spacing w:line="340" w:lineRule="atLeast"/>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车辆进出厂区冲洗产生的废水</w:t>
                  </w:r>
                </w:p>
              </w:tc>
              <w:tc>
                <w:tcPr>
                  <w:tcW w:w="1944" w:type="dxa"/>
                  <w:vAlign w:val="center"/>
                </w:tcPr>
                <w:p>
                  <w:pPr>
                    <w:spacing w:line="34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SS</w:t>
                  </w:r>
                </w:p>
              </w:tc>
              <w:tc>
                <w:tcPr>
                  <w:tcW w:w="656" w:type="dxa"/>
                  <w:vMerge w:val="restart"/>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09" w:type="dxa"/>
                  <w:vMerge w:val="continue"/>
                  <w:vAlign w:val="center"/>
                </w:tcPr>
                <w:p>
                  <w:pPr>
                    <w:spacing w:line="340" w:lineRule="atLeast"/>
                    <w:jc w:val="center"/>
                    <w:rPr>
                      <w:rFonts w:hint="default" w:ascii="Times New Roman" w:hAnsi="Times New Roman" w:eastAsia="宋体" w:cs="Times New Roman"/>
                      <w:color w:val="auto"/>
                    </w:rPr>
                  </w:pPr>
                </w:p>
              </w:tc>
              <w:tc>
                <w:tcPr>
                  <w:tcW w:w="688" w:type="dxa"/>
                  <w:vMerge w:val="continue"/>
                  <w:vAlign w:val="center"/>
                </w:tcPr>
                <w:p>
                  <w:pPr>
                    <w:spacing w:line="340" w:lineRule="atLeast"/>
                    <w:jc w:val="center"/>
                    <w:rPr>
                      <w:rFonts w:hint="default" w:ascii="Times New Roman" w:hAnsi="Times New Roman" w:eastAsia="宋体" w:cs="Times New Roman"/>
                      <w:color w:val="auto"/>
                      <w:lang w:eastAsia="zh-CN"/>
                    </w:rPr>
                  </w:pPr>
                </w:p>
              </w:tc>
              <w:tc>
                <w:tcPr>
                  <w:tcW w:w="1686" w:type="dxa"/>
                  <w:vAlign w:val="center"/>
                </w:tcPr>
                <w:p>
                  <w:pPr>
                    <w:spacing w:line="340" w:lineRule="atLeast"/>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洒水抑尘</w:t>
                  </w:r>
                </w:p>
              </w:tc>
              <w:tc>
                <w:tcPr>
                  <w:tcW w:w="914" w:type="dxa"/>
                  <w:vAlign w:val="center"/>
                </w:tcPr>
                <w:p>
                  <w:pPr>
                    <w:spacing w:line="34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W2</w:t>
                  </w:r>
                </w:p>
              </w:tc>
              <w:tc>
                <w:tcPr>
                  <w:tcW w:w="3160" w:type="dxa"/>
                  <w:vAlign w:val="center"/>
                </w:tcPr>
                <w:p>
                  <w:pPr>
                    <w:spacing w:line="340" w:lineRule="atLeast"/>
                    <w:jc w:val="center"/>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陆丰管业厂区进出道路洒水抑尘</w:t>
                  </w:r>
                </w:p>
              </w:tc>
              <w:tc>
                <w:tcPr>
                  <w:tcW w:w="1944" w:type="dxa"/>
                  <w:vAlign w:val="center"/>
                </w:tcPr>
                <w:p>
                  <w:pPr>
                    <w:spacing w:line="340" w:lineRule="atLeast"/>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656" w:type="dxa"/>
                  <w:vMerge w:val="continue"/>
                  <w:vAlign w:val="center"/>
                </w:tcPr>
                <w:p>
                  <w:pPr>
                    <w:spacing w:line="340" w:lineRule="atLeast"/>
                    <w:jc w:val="center"/>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09" w:type="dxa"/>
                  <w:vMerge w:val="continue"/>
                  <w:vAlign w:val="center"/>
                </w:tcPr>
                <w:p>
                  <w:pPr>
                    <w:spacing w:line="340" w:lineRule="atLeast"/>
                    <w:jc w:val="center"/>
                    <w:rPr>
                      <w:rFonts w:hint="default" w:ascii="Times New Roman" w:hAnsi="Times New Roman" w:eastAsia="宋体" w:cs="Times New Roman"/>
                      <w:color w:val="auto"/>
                    </w:rPr>
                  </w:pPr>
                </w:p>
              </w:tc>
              <w:tc>
                <w:tcPr>
                  <w:tcW w:w="688" w:type="dxa"/>
                  <w:vMerge w:val="continue"/>
                  <w:vAlign w:val="center"/>
                </w:tcPr>
                <w:p>
                  <w:pPr>
                    <w:spacing w:line="340" w:lineRule="atLeast"/>
                    <w:jc w:val="center"/>
                    <w:rPr>
                      <w:rFonts w:hint="default" w:ascii="Times New Roman" w:hAnsi="Times New Roman" w:eastAsia="宋体" w:cs="Times New Roman"/>
                      <w:color w:val="auto"/>
                      <w:lang w:eastAsia="zh-CN"/>
                    </w:rPr>
                  </w:pPr>
                </w:p>
              </w:tc>
              <w:tc>
                <w:tcPr>
                  <w:tcW w:w="1686" w:type="dxa"/>
                  <w:vAlign w:val="center"/>
                </w:tcPr>
                <w:p>
                  <w:pPr>
                    <w:spacing w:line="340" w:lineRule="atLeast"/>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生活污水</w:t>
                  </w:r>
                </w:p>
              </w:tc>
              <w:tc>
                <w:tcPr>
                  <w:tcW w:w="914" w:type="dxa"/>
                  <w:vAlign w:val="center"/>
                </w:tcPr>
                <w:p>
                  <w:pPr>
                    <w:spacing w:line="340" w:lineRule="atLeast"/>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W3</w:t>
                  </w:r>
                </w:p>
              </w:tc>
              <w:tc>
                <w:tcPr>
                  <w:tcW w:w="3160" w:type="dxa"/>
                  <w:vAlign w:val="center"/>
                </w:tcPr>
                <w:p>
                  <w:pPr>
                    <w:spacing w:line="340" w:lineRule="atLeast"/>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员工</w:t>
                  </w:r>
                  <w:r>
                    <w:rPr>
                      <w:rFonts w:hint="eastAsia" w:ascii="Times New Roman" w:hAnsi="Times New Roman" w:eastAsia="宋体" w:cs="Times New Roman"/>
                      <w:color w:val="auto"/>
                      <w:lang w:eastAsia="zh-CN"/>
                    </w:rPr>
                    <w:t>的</w:t>
                  </w:r>
                  <w:r>
                    <w:rPr>
                      <w:rFonts w:hint="default" w:ascii="Times New Roman" w:hAnsi="Times New Roman" w:eastAsia="宋体" w:cs="Times New Roman"/>
                      <w:color w:val="auto"/>
                      <w:lang w:eastAsia="zh-CN"/>
                    </w:rPr>
                    <w:t>生活污水</w:t>
                  </w:r>
                </w:p>
              </w:tc>
              <w:tc>
                <w:tcPr>
                  <w:tcW w:w="1944" w:type="dxa"/>
                  <w:vAlign w:val="center"/>
                </w:tcPr>
                <w:p>
                  <w:pPr>
                    <w:spacing w:line="340" w:lineRule="atLeast"/>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0"/>
                      <w:szCs w:val="21"/>
                      <w:highlight w:val="none"/>
                    </w:rPr>
                    <w:t>COD</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kern w:val="0"/>
                      <w:szCs w:val="21"/>
                      <w:highlight w:val="none"/>
                    </w:rPr>
                    <w:t>、SS、NH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val="en-US" w:eastAsia="zh-CN"/>
                    </w:rPr>
                    <w:t>TP</w:t>
                  </w:r>
                </w:p>
              </w:tc>
              <w:tc>
                <w:tcPr>
                  <w:tcW w:w="656" w:type="dxa"/>
                  <w:vAlign w:val="center"/>
                </w:tcPr>
                <w:p>
                  <w:pPr>
                    <w:spacing w:line="340" w:lineRule="atLeast"/>
                    <w:jc w:val="center"/>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continue"/>
                  <w:vAlign w:val="center"/>
                </w:tcPr>
                <w:p>
                  <w:pPr>
                    <w:pStyle w:val="217"/>
                    <w:spacing w:line="340" w:lineRule="exact"/>
                    <w:jc w:val="center"/>
                    <w:rPr>
                      <w:rFonts w:hint="default" w:ascii="Times New Roman" w:hAnsi="Times New Roman" w:eastAsia="宋体" w:cs="Times New Roman"/>
                      <w:color w:val="auto"/>
                    </w:rPr>
                  </w:pPr>
                </w:p>
              </w:tc>
              <w:tc>
                <w:tcPr>
                  <w:tcW w:w="688" w:type="dxa"/>
                  <w:vMerge w:val="restart"/>
                  <w:vAlign w:val="center"/>
                </w:tcPr>
                <w:p>
                  <w:pPr>
                    <w:pStyle w:val="217"/>
                    <w:spacing w:line="340" w:lineRule="exact"/>
                    <w:jc w:val="center"/>
                    <w:rPr>
                      <w:rFonts w:hint="eastAsia" w:ascii="Times New Roman" w:hAnsi="Times New Roman" w:eastAsia="宋体" w:cs="Times New Roman"/>
                      <w:color w:val="auto"/>
                      <w:lang w:eastAsia="zh-CN"/>
                    </w:rPr>
                  </w:pPr>
                  <w:r>
                    <w:rPr>
                      <w:rFonts w:hint="eastAsia" w:cs="Times New Roman"/>
                      <w:color w:val="auto"/>
                      <w:lang w:eastAsia="zh-CN"/>
                    </w:rPr>
                    <w:t>固废</w:t>
                  </w:r>
                </w:p>
              </w:tc>
              <w:tc>
                <w:tcPr>
                  <w:tcW w:w="1686" w:type="dxa"/>
                  <w:vAlign w:val="center"/>
                </w:tcPr>
                <w:p>
                  <w:pPr>
                    <w:pStyle w:val="217"/>
                    <w:spacing w:line="340" w:lineRule="exact"/>
                    <w:jc w:val="center"/>
                    <w:rPr>
                      <w:rFonts w:hint="default" w:ascii="Times New Roman" w:hAnsi="Times New Roman" w:eastAsia="宋体" w:cs="Times New Roman"/>
                      <w:color w:val="auto"/>
                      <w:kern w:val="0"/>
                      <w:lang w:eastAsia="zh-CN"/>
                    </w:rPr>
                  </w:pPr>
                  <w:r>
                    <w:rPr>
                      <w:rFonts w:hint="eastAsia" w:cs="Times New Roman"/>
                      <w:color w:val="auto"/>
                      <w:kern w:val="0"/>
                      <w:lang w:eastAsia="zh-CN"/>
                    </w:rPr>
                    <w:t>打包工序</w:t>
                  </w:r>
                </w:p>
              </w:tc>
              <w:tc>
                <w:tcPr>
                  <w:tcW w:w="914" w:type="dxa"/>
                  <w:vAlign w:val="center"/>
                </w:tcPr>
                <w:p>
                  <w:pPr>
                    <w:pStyle w:val="217"/>
                    <w:spacing w:line="340" w:lineRule="exact"/>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S1</w:t>
                  </w:r>
                </w:p>
              </w:tc>
              <w:tc>
                <w:tcPr>
                  <w:tcW w:w="3160" w:type="dxa"/>
                  <w:vAlign w:val="center"/>
                </w:tcPr>
                <w:p>
                  <w:pPr>
                    <w:pStyle w:val="217"/>
                    <w:spacing w:line="340" w:lineRule="exact"/>
                    <w:jc w:val="center"/>
                    <w:rPr>
                      <w:rFonts w:hint="eastAsia" w:cs="Times New Roman"/>
                      <w:color w:val="auto"/>
                      <w:kern w:val="0"/>
                      <w:lang w:eastAsia="zh-CN"/>
                    </w:rPr>
                  </w:pPr>
                  <w:r>
                    <w:rPr>
                      <w:rFonts w:hint="eastAsia" w:cs="Times New Roman"/>
                      <w:color w:val="auto"/>
                      <w:kern w:val="0"/>
                      <w:lang w:eastAsia="zh-CN"/>
                    </w:rPr>
                    <w:t>打包工程中产生的废包装材料</w:t>
                  </w:r>
                </w:p>
              </w:tc>
              <w:tc>
                <w:tcPr>
                  <w:tcW w:w="1944" w:type="dxa"/>
                  <w:vAlign w:val="center"/>
                </w:tcPr>
                <w:p>
                  <w:pPr>
                    <w:pStyle w:val="217"/>
                    <w:spacing w:line="340" w:lineRule="exact"/>
                    <w:jc w:val="center"/>
                    <w:rPr>
                      <w:rFonts w:hint="default" w:ascii="Times New Roman" w:hAnsi="Times New Roman" w:eastAsia="宋体" w:cs="Times New Roman"/>
                      <w:color w:val="auto"/>
                      <w:kern w:val="0"/>
                      <w:lang w:eastAsia="zh-CN"/>
                    </w:rPr>
                  </w:pPr>
                  <w:r>
                    <w:rPr>
                      <w:rFonts w:hint="eastAsia" w:cs="Times New Roman"/>
                      <w:color w:val="auto"/>
                      <w:kern w:val="0"/>
                      <w:lang w:eastAsia="zh-CN"/>
                    </w:rPr>
                    <w:t>废包装材料</w:t>
                  </w:r>
                </w:p>
              </w:tc>
              <w:tc>
                <w:tcPr>
                  <w:tcW w:w="656" w:type="dxa"/>
                  <w:vMerge w:val="restart"/>
                  <w:vAlign w:val="center"/>
                </w:tcPr>
                <w:p>
                  <w:pPr>
                    <w:pStyle w:val="217"/>
                    <w:spacing w:line="340" w:lineRule="exact"/>
                    <w:jc w:val="center"/>
                    <w:rPr>
                      <w:rFonts w:hint="eastAsia" w:ascii="Times New Roman" w:hAnsi="Times New Roman" w:eastAsia="宋体" w:cs="Times New Roman"/>
                      <w:color w:val="auto"/>
                      <w:kern w:val="0"/>
                      <w:lang w:eastAsia="zh-CN"/>
                    </w:rPr>
                  </w:pPr>
                  <w:r>
                    <w:rPr>
                      <w:rFonts w:hint="eastAsia" w:cs="Times New Roman"/>
                      <w:color w:val="auto"/>
                      <w:kern w:val="0"/>
                      <w:lang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688"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1686" w:type="dxa"/>
                  <w:vMerge w:val="restart"/>
                  <w:vAlign w:val="center"/>
                </w:tcPr>
                <w:p>
                  <w:pPr>
                    <w:pStyle w:val="217"/>
                    <w:spacing w:line="340" w:lineRule="exact"/>
                    <w:jc w:val="center"/>
                    <w:rPr>
                      <w:rFonts w:hint="default" w:ascii="Times New Roman" w:hAnsi="Times New Roman" w:eastAsia="宋体" w:cs="Times New Roman"/>
                      <w:color w:val="auto"/>
                      <w:kern w:val="0"/>
                      <w:lang w:eastAsia="zh-CN"/>
                    </w:rPr>
                  </w:pPr>
                  <w:r>
                    <w:rPr>
                      <w:rFonts w:hint="eastAsia" w:ascii="Times New Roman" w:hAnsi="Times New Roman" w:eastAsia="宋体" w:cs="Times New Roman"/>
                      <w:color w:val="auto"/>
                      <w:kern w:val="0"/>
                      <w:lang w:eastAsia="zh-CN"/>
                    </w:rPr>
                    <w:t>废气处理</w:t>
                  </w:r>
                </w:p>
              </w:tc>
              <w:tc>
                <w:tcPr>
                  <w:tcW w:w="914" w:type="dxa"/>
                  <w:vAlign w:val="center"/>
                </w:tcPr>
                <w:p>
                  <w:pPr>
                    <w:pStyle w:val="217"/>
                    <w:spacing w:line="340" w:lineRule="exact"/>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S2</w:t>
                  </w:r>
                </w:p>
              </w:tc>
              <w:tc>
                <w:tcPr>
                  <w:tcW w:w="3160" w:type="dxa"/>
                  <w:vAlign w:val="center"/>
                </w:tcPr>
                <w:p>
                  <w:pPr>
                    <w:pStyle w:val="217"/>
                    <w:spacing w:line="340" w:lineRule="exact"/>
                    <w:jc w:val="center"/>
                    <w:rPr>
                      <w:rFonts w:hint="eastAsia" w:cs="Times New Roman"/>
                      <w:color w:val="auto"/>
                      <w:kern w:val="0"/>
                      <w:szCs w:val="21"/>
                      <w:lang w:eastAsia="zh-CN"/>
                    </w:rPr>
                  </w:pPr>
                  <w:r>
                    <w:rPr>
                      <w:rFonts w:hint="eastAsia" w:cs="Times New Roman"/>
                      <w:color w:val="auto"/>
                      <w:kern w:val="0"/>
                      <w:szCs w:val="21"/>
                      <w:lang w:eastAsia="zh-CN"/>
                    </w:rPr>
                    <w:t>废气处理中的废布袋</w:t>
                  </w:r>
                </w:p>
              </w:tc>
              <w:tc>
                <w:tcPr>
                  <w:tcW w:w="1944" w:type="dxa"/>
                  <w:vAlign w:val="center"/>
                </w:tcPr>
                <w:p>
                  <w:pPr>
                    <w:pStyle w:val="217"/>
                    <w:spacing w:line="340" w:lineRule="exact"/>
                    <w:jc w:val="center"/>
                    <w:rPr>
                      <w:rFonts w:hint="default" w:ascii="Times New Roman" w:hAnsi="Times New Roman" w:eastAsia="宋体" w:cs="Times New Roman"/>
                      <w:color w:val="auto"/>
                      <w:kern w:val="0"/>
                      <w:lang w:eastAsia="zh-CN"/>
                    </w:rPr>
                  </w:pPr>
                  <w:r>
                    <w:rPr>
                      <w:rFonts w:hint="eastAsia" w:cs="Times New Roman"/>
                      <w:color w:val="auto"/>
                      <w:kern w:val="0"/>
                      <w:szCs w:val="21"/>
                      <w:lang w:eastAsia="zh-CN"/>
                    </w:rPr>
                    <w:t>废布袋</w:t>
                  </w:r>
                </w:p>
              </w:tc>
              <w:tc>
                <w:tcPr>
                  <w:tcW w:w="656"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688"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1686" w:type="dxa"/>
                  <w:vMerge w:val="continue"/>
                  <w:vAlign w:val="center"/>
                </w:tcPr>
                <w:p>
                  <w:pPr>
                    <w:pStyle w:val="217"/>
                    <w:spacing w:line="340" w:lineRule="exact"/>
                    <w:jc w:val="center"/>
                    <w:rPr>
                      <w:rFonts w:hint="eastAsia" w:ascii="Times New Roman" w:hAnsi="Times New Roman" w:eastAsia="宋体" w:cs="Times New Roman"/>
                      <w:color w:val="auto"/>
                      <w:kern w:val="0"/>
                      <w:lang w:eastAsia="zh-CN"/>
                    </w:rPr>
                  </w:pPr>
                </w:p>
              </w:tc>
              <w:tc>
                <w:tcPr>
                  <w:tcW w:w="914" w:type="dxa"/>
                  <w:vAlign w:val="center"/>
                </w:tcPr>
                <w:p>
                  <w:pPr>
                    <w:pStyle w:val="217"/>
                    <w:spacing w:line="340" w:lineRule="exact"/>
                    <w:jc w:val="center"/>
                    <w:rPr>
                      <w:rFonts w:hint="default" w:cs="Times New Roman"/>
                      <w:color w:val="auto"/>
                      <w:kern w:val="0"/>
                      <w:lang w:val="en-US" w:eastAsia="zh-CN"/>
                    </w:rPr>
                  </w:pPr>
                  <w:r>
                    <w:rPr>
                      <w:rFonts w:hint="eastAsia" w:cs="Times New Roman"/>
                      <w:color w:val="auto"/>
                      <w:kern w:val="0"/>
                      <w:lang w:val="en-US" w:eastAsia="zh-CN"/>
                    </w:rPr>
                    <w:t>S3</w:t>
                  </w:r>
                </w:p>
              </w:tc>
              <w:tc>
                <w:tcPr>
                  <w:tcW w:w="3160" w:type="dxa"/>
                  <w:vAlign w:val="center"/>
                </w:tcPr>
                <w:p>
                  <w:pPr>
                    <w:pStyle w:val="217"/>
                    <w:spacing w:line="340" w:lineRule="exact"/>
                    <w:jc w:val="center"/>
                    <w:rPr>
                      <w:rFonts w:hint="eastAsia" w:cs="Times New Roman"/>
                      <w:color w:val="auto"/>
                      <w:kern w:val="0"/>
                      <w:szCs w:val="21"/>
                      <w:lang w:eastAsia="zh-CN"/>
                    </w:rPr>
                  </w:pPr>
                  <w:r>
                    <w:rPr>
                      <w:rFonts w:hint="eastAsia" w:cs="Times New Roman"/>
                      <w:color w:val="auto"/>
                      <w:kern w:val="0"/>
                      <w:szCs w:val="21"/>
                      <w:lang w:eastAsia="zh-CN"/>
                    </w:rPr>
                    <w:t>废布袋中的布袋粉尘</w:t>
                  </w:r>
                </w:p>
              </w:tc>
              <w:tc>
                <w:tcPr>
                  <w:tcW w:w="1944" w:type="dxa"/>
                  <w:vAlign w:val="center"/>
                </w:tcPr>
                <w:p>
                  <w:pPr>
                    <w:pStyle w:val="217"/>
                    <w:spacing w:line="340" w:lineRule="exact"/>
                    <w:jc w:val="center"/>
                    <w:rPr>
                      <w:rFonts w:hint="eastAsia" w:cs="Times New Roman"/>
                      <w:color w:val="auto"/>
                      <w:kern w:val="0"/>
                      <w:szCs w:val="21"/>
                      <w:lang w:eastAsia="zh-CN"/>
                    </w:rPr>
                  </w:pPr>
                  <w:r>
                    <w:rPr>
                      <w:rFonts w:hint="eastAsia" w:cs="Times New Roman"/>
                      <w:color w:val="auto"/>
                      <w:kern w:val="0"/>
                      <w:szCs w:val="21"/>
                      <w:lang w:eastAsia="zh-CN"/>
                    </w:rPr>
                    <w:t>布袋粉尘</w:t>
                  </w:r>
                </w:p>
              </w:tc>
              <w:tc>
                <w:tcPr>
                  <w:tcW w:w="656"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09"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688"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1686" w:type="dxa"/>
                  <w:vAlign w:val="center"/>
                </w:tcPr>
                <w:p>
                  <w:pPr>
                    <w:pStyle w:val="217"/>
                    <w:spacing w:line="340" w:lineRule="exact"/>
                    <w:jc w:val="center"/>
                    <w:rPr>
                      <w:rFonts w:hint="eastAsia" w:cs="Times New Roman"/>
                      <w:color w:val="auto"/>
                      <w:kern w:val="0"/>
                      <w:lang w:eastAsia="zh-CN"/>
                    </w:rPr>
                  </w:pPr>
                  <w:r>
                    <w:rPr>
                      <w:rFonts w:hint="eastAsia" w:cs="Times New Roman"/>
                      <w:color w:val="auto"/>
                      <w:kern w:val="0"/>
                      <w:lang w:eastAsia="zh-CN"/>
                    </w:rPr>
                    <w:t>沉淀池</w:t>
                  </w:r>
                </w:p>
              </w:tc>
              <w:tc>
                <w:tcPr>
                  <w:tcW w:w="914" w:type="dxa"/>
                  <w:vAlign w:val="center"/>
                </w:tcPr>
                <w:p>
                  <w:pPr>
                    <w:pStyle w:val="217"/>
                    <w:spacing w:line="340" w:lineRule="exact"/>
                    <w:jc w:val="center"/>
                    <w:rPr>
                      <w:rFonts w:hint="default" w:cs="Times New Roman"/>
                      <w:color w:val="auto"/>
                      <w:kern w:val="0"/>
                      <w:lang w:val="en-US" w:eastAsia="zh-CN"/>
                    </w:rPr>
                  </w:pPr>
                  <w:r>
                    <w:rPr>
                      <w:rFonts w:hint="eastAsia" w:cs="Times New Roman"/>
                      <w:color w:val="auto"/>
                      <w:kern w:val="0"/>
                      <w:lang w:val="en-US" w:eastAsia="zh-CN"/>
                    </w:rPr>
                    <w:t>S4</w:t>
                  </w:r>
                </w:p>
              </w:tc>
              <w:tc>
                <w:tcPr>
                  <w:tcW w:w="3160" w:type="dxa"/>
                  <w:vAlign w:val="center"/>
                </w:tcPr>
                <w:p>
                  <w:pPr>
                    <w:pStyle w:val="217"/>
                    <w:spacing w:line="340" w:lineRule="exact"/>
                    <w:jc w:val="center"/>
                    <w:rPr>
                      <w:rFonts w:hint="eastAsia" w:cs="Times New Roman"/>
                      <w:color w:val="auto"/>
                      <w:kern w:val="0"/>
                      <w:szCs w:val="21"/>
                      <w:lang w:eastAsia="zh-CN"/>
                    </w:rPr>
                  </w:pPr>
                  <w:r>
                    <w:rPr>
                      <w:rFonts w:hint="eastAsia" w:cs="Times New Roman"/>
                      <w:color w:val="auto"/>
                      <w:kern w:val="0"/>
                      <w:szCs w:val="21"/>
                      <w:lang w:eastAsia="zh-CN"/>
                    </w:rPr>
                    <w:t>沉淀池内产生的污泥</w:t>
                  </w:r>
                </w:p>
              </w:tc>
              <w:tc>
                <w:tcPr>
                  <w:tcW w:w="1944" w:type="dxa"/>
                  <w:vAlign w:val="center"/>
                </w:tcPr>
                <w:p>
                  <w:pPr>
                    <w:pStyle w:val="217"/>
                    <w:spacing w:line="340" w:lineRule="exact"/>
                    <w:jc w:val="center"/>
                    <w:rPr>
                      <w:rFonts w:hint="eastAsia" w:cs="Times New Roman"/>
                      <w:color w:val="auto"/>
                      <w:kern w:val="0"/>
                      <w:szCs w:val="21"/>
                      <w:lang w:eastAsia="zh-CN"/>
                    </w:rPr>
                  </w:pPr>
                  <w:r>
                    <w:rPr>
                      <w:rFonts w:hint="eastAsia" w:cs="Times New Roman"/>
                      <w:color w:val="auto"/>
                      <w:kern w:val="0"/>
                      <w:szCs w:val="21"/>
                      <w:lang w:eastAsia="zh-CN"/>
                    </w:rPr>
                    <w:t>废污泥</w:t>
                  </w:r>
                </w:p>
              </w:tc>
              <w:tc>
                <w:tcPr>
                  <w:tcW w:w="656"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688"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1686" w:type="dxa"/>
                  <w:vAlign w:val="center"/>
                </w:tcPr>
                <w:p>
                  <w:pPr>
                    <w:pStyle w:val="217"/>
                    <w:spacing w:line="340" w:lineRule="exact"/>
                    <w:jc w:val="center"/>
                    <w:rPr>
                      <w:rFonts w:hint="eastAsia" w:cs="Times New Roman"/>
                      <w:color w:val="auto"/>
                      <w:kern w:val="0"/>
                      <w:lang w:eastAsia="zh-CN"/>
                    </w:rPr>
                  </w:pPr>
                  <w:r>
                    <w:rPr>
                      <w:rFonts w:hint="eastAsia" w:cs="Times New Roman"/>
                      <w:color w:val="auto"/>
                      <w:kern w:val="0"/>
                      <w:lang w:eastAsia="zh-CN"/>
                    </w:rPr>
                    <w:t>废机油</w:t>
                  </w:r>
                </w:p>
              </w:tc>
              <w:tc>
                <w:tcPr>
                  <w:tcW w:w="914" w:type="dxa"/>
                  <w:vAlign w:val="center"/>
                </w:tcPr>
                <w:p>
                  <w:pPr>
                    <w:pStyle w:val="217"/>
                    <w:spacing w:line="340" w:lineRule="exact"/>
                    <w:jc w:val="center"/>
                    <w:rPr>
                      <w:rFonts w:hint="default" w:cs="Times New Roman"/>
                      <w:color w:val="auto"/>
                      <w:kern w:val="0"/>
                      <w:lang w:val="en-US" w:eastAsia="zh-CN"/>
                    </w:rPr>
                  </w:pPr>
                  <w:r>
                    <w:rPr>
                      <w:rFonts w:hint="eastAsia" w:cs="Times New Roman"/>
                      <w:color w:val="auto"/>
                      <w:kern w:val="0"/>
                      <w:lang w:val="en-US" w:eastAsia="zh-CN"/>
                    </w:rPr>
                    <w:t>S5</w:t>
                  </w:r>
                </w:p>
              </w:tc>
              <w:tc>
                <w:tcPr>
                  <w:tcW w:w="3160" w:type="dxa"/>
                  <w:vAlign w:val="center"/>
                </w:tcPr>
                <w:p>
                  <w:pPr>
                    <w:pStyle w:val="217"/>
                    <w:spacing w:line="340" w:lineRule="exact"/>
                    <w:jc w:val="center"/>
                    <w:rPr>
                      <w:rFonts w:hint="default" w:cs="Times New Roman"/>
                      <w:color w:val="auto"/>
                      <w:kern w:val="0"/>
                      <w:lang w:val="en-US" w:eastAsia="zh-CN"/>
                    </w:rPr>
                  </w:pPr>
                  <w:r>
                    <w:rPr>
                      <w:rFonts w:hint="eastAsia" w:cs="Times New Roman"/>
                      <w:color w:val="auto"/>
                      <w:kern w:val="0"/>
                      <w:lang w:val="en-US" w:eastAsia="zh-CN"/>
                    </w:rPr>
                    <w:t>设备维修过程中产生的废机油</w:t>
                  </w:r>
                </w:p>
              </w:tc>
              <w:tc>
                <w:tcPr>
                  <w:tcW w:w="1944" w:type="dxa"/>
                  <w:vAlign w:val="center"/>
                </w:tcPr>
                <w:p>
                  <w:pPr>
                    <w:pStyle w:val="217"/>
                    <w:spacing w:line="340" w:lineRule="exact"/>
                    <w:jc w:val="center"/>
                    <w:rPr>
                      <w:rFonts w:hint="eastAsia" w:cs="Times New Roman"/>
                      <w:color w:val="auto"/>
                      <w:kern w:val="0"/>
                      <w:lang w:eastAsia="zh-CN"/>
                    </w:rPr>
                  </w:pPr>
                  <w:r>
                    <w:rPr>
                      <w:rFonts w:hint="eastAsia" w:cs="Times New Roman"/>
                      <w:color w:val="auto"/>
                      <w:kern w:val="0"/>
                      <w:lang w:eastAsia="zh-CN"/>
                    </w:rPr>
                    <w:t>废矿物油</w:t>
                  </w:r>
                </w:p>
              </w:tc>
              <w:tc>
                <w:tcPr>
                  <w:tcW w:w="656"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9"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688"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1686" w:type="dxa"/>
                  <w:vAlign w:val="center"/>
                </w:tcPr>
                <w:p>
                  <w:pPr>
                    <w:pStyle w:val="217"/>
                    <w:spacing w:line="340" w:lineRule="exact"/>
                    <w:jc w:val="center"/>
                    <w:rPr>
                      <w:rFonts w:hint="eastAsia" w:cs="Times New Roman"/>
                      <w:color w:val="auto"/>
                      <w:kern w:val="0"/>
                      <w:lang w:eastAsia="zh-CN"/>
                    </w:rPr>
                  </w:pPr>
                  <w:r>
                    <w:rPr>
                      <w:rFonts w:hint="eastAsia" w:cs="Times New Roman"/>
                      <w:color w:val="auto"/>
                      <w:kern w:val="0"/>
                      <w:lang w:eastAsia="zh-CN"/>
                    </w:rPr>
                    <w:t>废机油桶</w:t>
                  </w:r>
                </w:p>
              </w:tc>
              <w:tc>
                <w:tcPr>
                  <w:tcW w:w="914" w:type="dxa"/>
                  <w:vAlign w:val="center"/>
                </w:tcPr>
                <w:p>
                  <w:pPr>
                    <w:pStyle w:val="217"/>
                    <w:spacing w:line="340" w:lineRule="exact"/>
                    <w:jc w:val="center"/>
                    <w:rPr>
                      <w:rFonts w:hint="default" w:cs="Times New Roman"/>
                      <w:color w:val="auto"/>
                      <w:kern w:val="0"/>
                      <w:lang w:val="en-US" w:eastAsia="zh-CN"/>
                    </w:rPr>
                  </w:pPr>
                  <w:r>
                    <w:rPr>
                      <w:rFonts w:hint="eastAsia" w:cs="Times New Roman"/>
                      <w:color w:val="auto"/>
                      <w:kern w:val="0"/>
                      <w:lang w:val="en-US" w:eastAsia="zh-CN"/>
                    </w:rPr>
                    <w:t>S6</w:t>
                  </w:r>
                </w:p>
              </w:tc>
              <w:tc>
                <w:tcPr>
                  <w:tcW w:w="3160" w:type="dxa"/>
                  <w:vAlign w:val="center"/>
                </w:tcPr>
                <w:p>
                  <w:pPr>
                    <w:pStyle w:val="217"/>
                    <w:spacing w:line="340" w:lineRule="exact"/>
                    <w:jc w:val="center"/>
                    <w:rPr>
                      <w:rFonts w:hint="eastAsia" w:cs="Times New Roman"/>
                      <w:color w:val="auto"/>
                      <w:kern w:val="0"/>
                      <w:lang w:eastAsia="zh-CN"/>
                    </w:rPr>
                  </w:pPr>
                  <w:r>
                    <w:rPr>
                      <w:rFonts w:hint="eastAsia" w:cs="Times New Roman"/>
                      <w:color w:val="auto"/>
                      <w:kern w:val="0"/>
                      <w:lang w:eastAsia="zh-CN"/>
                    </w:rPr>
                    <w:t>设备维修过程中产生的废机油桶</w:t>
                  </w:r>
                </w:p>
              </w:tc>
              <w:tc>
                <w:tcPr>
                  <w:tcW w:w="1944" w:type="dxa"/>
                  <w:vAlign w:val="center"/>
                </w:tcPr>
                <w:p>
                  <w:pPr>
                    <w:pStyle w:val="217"/>
                    <w:spacing w:line="340" w:lineRule="exact"/>
                    <w:jc w:val="center"/>
                    <w:rPr>
                      <w:rFonts w:hint="eastAsia" w:cs="Times New Roman"/>
                      <w:color w:val="auto"/>
                      <w:kern w:val="0"/>
                      <w:lang w:eastAsia="zh-CN"/>
                    </w:rPr>
                  </w:pPr>
                  <w:r>
                    <w:rPr>
                      <w:rFonts w:hint="eastAsia" w:cs="Times New Roman"/>
                      <w:color w:val="auto"/>
                      <w:kern w:val="0"/>
                      <w:lang w:eastAsia="zh-CN"/>
                    </w:rPr>
                    <w:t>废矿物油</w:t>
                  </w:r>
                </w:p>
              </w:tc>
              <w:tc>
                <w:tcPr>
                  <w:tcW w:w="656"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9"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688"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c>
                <w:tcPr>
                  <w:tcW w:w="1686" w:type="dxa"/>
                  <w:vAlign w:val="center"/>
                </w:tcPr>
                <w:p>
                  <w:pPr>
                    <w:pStyle w:val="217"/>
                    <w:spacing w:line="340" w:lineRule="exact"/>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lang w:eastAsia="zh-CN"/>
                    </w:rPr>
                    <w:t>日常生活</w:t>
                  </w:r>
                </w:p>
              </w:tc>
              <w:tc>
                <w:tcPr>
                  <w:tcW w:w="914" w:type="dxa"/>
                  <w:vAlign w:val="center"/>
                </w:tcPr>
                <w:p>
                  <w:pPr>
                    <w:pStyle w:val="217"/>
                    <w:spacing w:line="340" w:lineRule="exact"/>
                    <w:jc w:val="center"/>
                    <w:rPr>
                      <w:rFonts w:hint="default" w:ascii="Times New Roman" w:hAnsi="Times New Roman" w:eastAsia="宋体" w:cs="Times New Roman"/>
                      <w:color w:val="auto"/>
                      <w:kern w:val="0"/>
                      <w:sz w:val="21"/>
                      <w:szCs w:val="24"/>
                      <w:lang w:val="en-US" w:eastAsia="zh-CN" w:bidi="ar-SA"/>
                    </w:rPr>
                  </w:pPr>
                  <w:r>
                    <w:rPr>
                      <w:rFonts w:hint="eastAsia" w:cs="Times New Roman"/>
                      <w:color w:val="auto"/>
                      <w:kern w:val="0"/>
                      <w:lang w:val="en-US" w:eastAsia="zh-CN"/>
                    </w:rPr>
                    <w:t>S7</w:t>
                  </w:r>
                </w:p>
              </w:tc>
              <w:tc>
                <w:tcPr>
                  <w:tcW w:w="3160" w:type="dxa"/>
                  <w:vAlign w:val="center"/>
                </w:tcPr>
                <w:p>
                  <w:pPr>
                    <w:pStyle w:val="217"/>
                    <w:spacing w:line="340" w:lineRule="exact"/>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lang w:eastAsia="zh-CN"/>
                    </w:rPr>
                    <w:t>日常生活的生活垃圾</w:t>
                  </w:r>
                </w:p>
              </w:tc>
              <w:tc>
                <w:tcPr>
                  <w:tcW w:w="1944" w:type="dxa"/>
                  <w:vAlign w:val="center"/>
                </w:tcPr>
                <w:p>
                  <w:pPr>
                    <w:pStyle w:val="217"/>
                    <w:spacing w:line="340" w:lineRule="exact"/>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lang w:eastAsia="zh-CN"/>
                    </w:rPr>
                    <w:t>生活垃圾</w:t>
                  </w:r>
                </w:p>
              </w:tc>
              <w:tc>
                <w:tcPr>
                  <w:tcW w:w="656" w:type="dxa"/>
                  <w:vMerge w:val="continue"/>
                  <w:vAlign w:val="center"/>
                </w:tcPr>
                <w:p>
                  <w:pPr>
                    <w:pStyle w:val="217"/>
                    <w:spacing w:line="340" w:lineRule="exact"/>
                    <w:jc w:val="center"/>
                    <w:rPr>
                      <w:rFonts w:hint="default" w:ascii="Times New Roman" w:hAnsi="Times New Roman" w:eastAsia="宋体"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09" w:type="dxa"/>
                  <w:vMerge w:val="continue"/>
                  <w:vAlign w:val="center"/>
                </w:tcPr>
                <w:p>
                  <w:pPr>
                    <w:widowControl/>
                    <w:jc w:val="center"/>
                    <w:rPr>
                      <w:rFonts w:hint="default" w:ascii="Times New Roman" w:hAnsi="Times New Roman" w:eastAsia="宋体" w:cs="Times New Roman"/>
                      <w:color w:val="auto"/>
                      <w:szCs w:val="21"/>
                    </w:rPr>
                  </w:pPr>
                </w:p>
              </w:tc>
              <w:tc>
                <w:tcPr>
                  <w:tcW w:w="688" w:type="dxa"/>
                  <w:vAlign w:val="center"/>
                </w:tcPr>
                <w:p>
                  <w:pPr>
                    <w:spacing w:line="340" w:lineRule="atLeas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rPr>
                    <w:t>设备噪声</w:t>
                  </w:r>
                </w:p>
              </w:tc>
              <w:tc>
                <w:tcPr>
                  <w:tcW w:w="1686" w:type="dxa"/>
                  <w:vAlign w:val="center"/>
                </w:tcPr>
                <w:p>
                  <w:pPr>
                    <w:spacing w:line="340" w:lineRule="atLeast"/>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设备运行</w:t>
                  </w:r>
                </w:p>
              </w:tc>
              <w:tc>
                <w:tcPr>
                  <w:tcW w:w="914" w:type="dxa"/>
                  <w:vAlign w:val="center"/>
                </w:tcPr>
                <w:p>
                  <w:pPr>
                    <w:spacing w:line="340" w:lineRule="atLeast"/>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N</w:t>
                  </w:r>
                </w:p>
              </w:tc>
              <w:tc>
                <w:tcPr>
                  <w:tcW w:w="3160" w:type="dxa"/>
                  <w:vAlign w:val="center"/>
                </w:tcPr>
                <w:p>
                  <w:pPr>
                    <w:spacing w:line="340" w:lineRule="atLeast"/>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机械噪声</w:t>
                  </w:r>
                </w:p>
              </w:tc>
              <w:tc>
                <w:tcPr>
                  <w:tcW w:w="1944" w:type="dxa"/>
                  <w:vAlign w:val="center"/>
                </w:tcPr>
                <w:p>
                  <w:pPr>
                    <w:spacing w:line="340" w:lineRule="atLeast"/>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sz w:val="21"/>
                      <w:szCs w:val="21"/>
                      <w:highlight w:val="none"/>
                    </w:rPr>
                    <w:t>等效连续A声级</w:t>
                  </w:r>
                </w:p>
              </w:tc>
              <w:tc>
                <w:tcPr>
                  <w:tcW w:w="656" w:type="dxa"/>
                  <w:vAlign w:val="center"/>
                </w:tcPr>
                <w:p>
                  <w:pPr>
                    <w:widowControl/>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间断</w:t>
                  </w:r>
                </w:p>
              </w:tc>
            </w:tr>
          </w:tbl>
          <w:p>
            <w:pPr>
              <w:pStyle w:val="389"/>
              <w:jc w:val="both"/>
              <w:rPr>
                <w:rFonts w:hint="default" w:ascii="Times New Roman" w:hAnsi="Times New Roman" w:eastAsia="宋体" w:cs="Times New Roman"/>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2" w:type="dxa"/>
            <w:tcBorders>
              <w:top w:val="single" w:color="auto" w:sz="4" w:space="0"/>
              <w:left w:val="single" w:color="auto" w:sz="8" w:space="0"/>
              <w:bottom w:val="single" w:color="auto" w:sz="4" w:space="0"/>
              <w:right w:val="single" w:color="auto" w:sz="4" w:space="0"/>
            </w:tcBorders>
            <w:vAlign w:val="center"/>
          </w:tcPr>
          <w:p>
            <w:pPr>
              <w:pStyle w:val="38"/>
              <w:adjustRightInd w:val="0"/>
              <w:snapToGrid w:val="0"/>
              <w:spacing w:before="0" w:beforeAutospacing="0" w:after="0" w:afterAutospacing="0"/>
              <w:jc w:val="center"/>
              <w:rPr>
                <w:rFonts w:hint="default" w:ascii="Times New Roman" w:hAnsi="Times New Roman" w:eastAsia="宋体" w:cs="Times New Roman"/>
                <w:color w:val="auto"/>
                <w:szCs w:val="24"/>
              </w:rPr>
            </w:pPr>
            <w:r>
              <w:rPr>
                <w:rFonts w:hint="default" w:ascii="Times New Roman" w:hAnsi="Times New Roman" w:eastAsia="宋体" w:cs="Times New Roman"/>
                <w:bCs/>
                <w:color w:val="auto"/>
                <w:szCs w:val="24"/>
              </w:rPr>
              <w:t>与项目有关的原有环境污染问题</w:t>
            </w:r>
          </w:p>
        </w:tc>
        <w:tc>
          <w:tcPr>
            <w:tcW w:w="9554" w:type="dxa"/>
            <w:tcBorders>
              <w:top w:val="single" w:color="auto" w:sz="4" w:space="0"/>
              <w:left w:val="single" w:color="auto" w:sz="4" w:space="0"/>
              <w:bottom w:val="single" w:color="auto" w:sz="4" w:space="0"/>
              <w:right w:val="single" w:color="auto" w:sz="8" w:space="0"/>
            </w:tcBorders>
            <w:vAlign w:val="center"/>
          </w:tcPr>
          <w:p>
            <w:pPr>
              <w:spacing w:line="360" w:lineRule="auto"/>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FF0000"/>
                <w:lang w:val="en-US" w:eastAsia="zh-CN"/>
              </w:rPr>
              <w:t>本项目租赁的陆丰管业九号厂房原为一块荒地，没有进行任何生产、堆放作业。该荒地在本项目建设单位与陆丰管业签署相关租赁合同后才由陆丰管业园区负责建设项目厂房框架后进行交付。因此，该地块不存在原有环境污染问题。</w:t>
            </w:r>
          </w:p>
        </w:tc>
      </w:tr>
    </w:tbl>
    <w:p>
      <w:pPr>
        <w:pStyle w:val="2"/>
        <w:spacing w:line="360" w:lineRule="auto"/>
        <w:jc w:val="center"/>
        <w:rPr>
          <w:rFonts w:hint="default" w:ascii="Times New Roman" w:hAnsi="Times New Roman" w:eastAsia="宋体" w:cs="Times New Roman"/>
          <w:b w:val="0"/>
          <w:bCs/>
          <w:snapToGrid w:val="0"/>
          <w:color w:val="auto"/>
          <w:sz w:val="30"/>
          <w:szCs w:val="30"/>
        </w:rPr>
      </w:pPr>
      <w:r>
        <w:rPr>
          <w:rFonts w:hint="default" w:ascii="Times New Roman" w:hAnsi="Times New Roman" w:eastAsia="宋体" w:cs="Times New Roman"/>
          <w:snapToGrid w:val="0"/>
          <w:color w:val="FF0000"/>
        </w:rPr>
        <w:br w:type="page"/>
      </w:r>
      <w:bookmarkStart w:id="9" w:name="_Toc13560"/>
      <w:r>
        <w:rPr>
          <w:rFonts w:hint="default" w:ascii="Times New Roman" w:hAnsi="Times New Roman" w:eastAsia="宋体" w:cs="Times New Roman"/>
          <w:b w:val="0"/>
          <w:bCs/>
          <w:snapToGrid w:val="0"/>
          <w:color w:val="auto"/>
          <w:sz w:val="30"/>
          <w:szCs w:val="30"/>
        </w:rPr>
        <w:t>三、区域环境质量现状、环境保护目标及评价标准</w:t>
      </w:r>
      <w:bookmarkEnd w:id="9"/>
    </w:p>
    <w:tbl>
      <w:tblPr>
        <w:tblStyle w:val="57"/>
        <w:tblW w:w="98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4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56"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区域</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质量</w:t>
            </w:r>
          </w:p>
          <w:p>
            <w:pPr>
              <w:adjustRightInd w:val="0"/>
              <w:snapToGrid w:val="0"/>
              <w:jc w:val="center"/>
              <w:rPr>
                <w:rFonts w:hint="default" w:ascii="Times New Roman" w:hAnsi="Times New Roman" w:eastAsia="宋体" w:cs="Times New Roman"/>
                <w:color w:val="FF0000"/>
                <w:kern w:val="0"/>
                <w:szCs w:val="21"/>
              </w:rPr>
            </w:pPr>
            <w:r>
              <w:rPr>
                <w:rFonts w:hint="default" w:ascii="Times New Roman" w:hAnsi="Times New Roman" w:eastAsia="宋体" w:cs="Times New Roman"/>
                <w:color w:val="auto"/>
                <w:kern w:val="0"/>
                <w:sz w:val="24"/>
                <w:szCs w:val="24"/>
              </w:rPr>
              <w:t>现状</w:t>
            </w:r>
          </w:p>
        </w:tc>
        <w:tc>
          <w:tcPr>
            <w:tcW w:w="9441" w:type="dxa"/>
            <w:tcBorders>
              <w:top w:val="single" w:color="auto" w:sz="8" w:space="0"/>
              <w:left w:val="single" w:color="auto" w:sz="4" w:space="0"/>
              <w:bottom w:val="single" w:color="auto" w:sz="4" w:space="0"/>
              <w:right w:val="single" w:color="auto" w:sz="8" w:space="0"/>
            </w:tcBorders>
            <w:vAlign w:val="center"/>
          </w:tcPr>
          <w:p>
            <w:pPr>
              <w:widowControl/>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1、环境空气质量现状</w:t>
            </w:r>
          </w:p>
          <w:p>
            <w:pPr>
              <w:spacing w:line="360" w:lineRule="auto"/>
              <w:ind w:firstLine="480" w:firstLineChars="200"/>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eastAsia="zh-CN"/>
              </w:rPr>
              <w:t>）基本污染物环境质量现状</w:t>
            </w:r>
          </w:p>
          <w:p>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建设项目环境影响报告表编制技术指南（污染影响类）》（试行）有关要求：“...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因此，本评价</w:t>
            </w:r>
            <w:r>
              <w:rPr>
                <w:rFonts w:hint="eastAsia" w:ascii="Times New Roman" w:hAnsi="Times New Roman" w:eastAsia="宋体" w:cs="Times New Roman"/>
                <w:bCs/>
                <w:color w:val="auto"/>
                <w:sz w:val="24"/>
                <w:lang w:eastAsia="zh-CN"/>
              </w:rPr>
              <w:t>引用</w:t>
            </w:r>
            <w:r>
              <w:rPr>
                <w:rFonts w:hint="eastAsia" w:ascii="Times New Roman" w:hAnsi="Times New Roman" w:eastAsia="宋体" w:cs="Times New Roman"/>
                <w:bCs/>
                <w:color w:val="auto"/>
                <w:sz w:val="24"/>
                <w:lang w:val="en-US" w:eastAsia="zh-CN"/>
              </w:rPr>
              <w:t>2022年江西省各县（市、区）宜春市奉新县六项污染物浓度年均值</w:t>
            </w:r>
            <w:r>
              <w:rPr>
                <w:rFonts w:hint="default" w:ascii="Times New Roman" w:hAnsi="Times New Roman" w:eastAsia="宋体" w:cs="Times New Roman"/>
                <w:bCs/>
                <w:color w:val="auto"/>
                <w:sz w:val="24"/>
              </w:rPr>
              <w:t>，结果见</w:t>
            </w:r>
            <w:r>
              <w:rPr>
                <w:rFonts w:hint="eastAsia" w:ascii="Times New Roman" w:hAnsi="Times New Roman" w:eastAsia="宋体" w:cs="Times New Roman"/>
                <w:bCs/>
                <w:color w:val="auto"/>
                <w:sz w:val="24"/>
                <w:lang w:eastAsia="zh-CN"/>
              </w:rPr>
              <w:t>下表</w:t>
            </w:r>
            <w:r>
              <w:rPr>
                <w:rFonts w:hint="default" w:ascii="Times New Roman" w:hAnsi="Times New Roman" w:eastAsia="宋体" w:cs="Times New Roman"/>
                <w:bCs/>
                <w:color w:val="auto"/>
                <w:sz w:val="24"/>
              </w:rPr>
              <w:t>。</w:t>
            </w:r>
          </w:p>
          <w:p>
            <w:pPr>
              <w:tabs>
                <w:tab w:val="left" w:pos="3822"/>
              </w:tabs>
              <w:adjustRightInd w:val="0"/>
              <w:snapToGrid w:val="0"/>
              <w:spacing w:line="24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表3-1</w:t>
            </w:r>
            <w:r>
              <w:rPr>
                <w:rFonts w:hint="eastAsia" w:ascii="Times New Roman" w:hAnsi="Times New Roman" w:eastAsia="宋体" w:cs="Times New Roman"/>
                <w:b/>
                <w:bCs/>
                <w:color w:val="auto"/>
                <w:kern w:val="0"/>
                <w:szCs w:val="21"/>
                <w:lang w:eastAsia="zh-CN"/>
              </w:rPr>
              <w:t>宜春市奉新县六项</w:t>
            </w:r>
            <w:r>
              <w:rPr>
                <w:rFonts w:hint="default" w:ascii="Times New Roman" w:hAnsi="Times New Roman" w:eastAsia="宋体" w:cs="Times New Roman"/>
                <w:b/>
                <w:bCs/>
                <w:color w:val="auto"/>
                <w:kern w:val="0"/>
                <w:szCs w:val="21"/>
              </w:rPr>
              <w:t>污染物环境空气</w:t>
            </w:r>
            <w:r>
              <w:rPr>
                <w:rFonts w:hint="eastAsia" w:ascii="Times New Roman" w:hAnsi="Times New Roman" w:eastAsia="宋体" w:cs="Times New Roman"/>
                <w:b/>
                <w:bCs/>
                <w:color w:val="auto"/>
                <w:kern w:val="0"/>
                <w:szCs w:val="21"/>
                <w:lang w:eastAsia="zh-CN"/>
              </w:rPr>
              <w:t>质量</w:t>
            </w:r>
            <w:r>
              <w:rPr>
                <w:rFonts w:hint="default" w:ascii="Times New Roman" w:hAnsi="Times New Roman" w:eastAsia="宋体" w:cs="Times New Roman"/>
                <w:b/>
                <w:bCs/>
                <w:color w:val="auto"/>
                <w:kern w:val="0"/>
                <w:szCs w:val="21"/>
              </w:rPr>
              <w:t>统计一览表</w:t>
            </w:r>
          </w:p>
          <w:tbl>
            <w:tblPr>
              <w:tblStyle w:val="615"/>
              <w:tblW w:w="9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87"/>
              <w:gridCol w:w="3441"/>
              <w:gridCol w:w="1273"/>
              <w:gridCol w:w="1330"/>
              <w:gridCol w:w="1142"/>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7"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3441"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年评价指标</w:t>
                  </w:r>
                </w:p>
              </w:tc>
              <w:tc>
                <w:tcPr>
                  <w:tcW w:w="1273"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评价标准/（ug/m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1330"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现状浓度/（ug/m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1142"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占标率</w:t>
                  </w:r>
                </w:p>
                <w:p>
                  <w:pPr>
                    <w:pStyle w:val="1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w:t>
                  </w:r>
                </w:p>
              </w:tc>
              <w:tc>
                <w:tcPr>
                  <w:tcW w:w="969"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p>
              </w:tc>
              <w:tc>
                <w:tcPr>
                  <w:tcW w:w="3441"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年平均质量浓度</w:t>
                  </w:r>
                </w:p>
              </w:tc>
              <w:tc>
                <w:tcPr>
                  <w:tcW w:w="1273"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35</w:t>
                  </w:r>
                </w:p>
              </w:tc>
              <w:tc>
                <w:tcPr>
                  <w:tcW w:w="1330"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22</w:t>
                  </w:r>
                </w:p>
              </w:tc>
              <w:tc>
                <w:tcPr>
                  <w:tcW w:w="1142"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62.86</w:t>
                  </w:r>
                </w:p>
              </w:tc>
              <w:tc>
                <w:tcPr>
                  <w:tcW w:w="969"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p>
              </w:tc>
              <w:tc>
                <w:tcPr>
                  <w:tcW w:w="3441"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年平均质量浓度</w:t>
                  </w:r>
                </w:p>
              </w:tc>
              <w:tc>
                <w:tcPr>
                  <w:tcW w:w="1273"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1330"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w:t>
                  </w:r>
                </w:p>
              </w:tc>
              <w:tc>
                <w:tcPr>
                  <w:tcW w:w="1142"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57.14</w:t>
                  </w:r>
                </w:p>
              </w:tc>
              <w:tc>
                <w:tcPr>
                  <w:tcW w:w="969"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1"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p>
              </w:tc>
              <w:tc>
                <w:tcPr>
                  <w:tcW w:w="3441"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年平均质量浓度</w:t>
                  </w:r>
                </w:p>
              </w:tc>
              <w:tc>
                <w:tcPr>
                  <w:tcW w:w="1273"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1330"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p>
              </w:tc>
              <w:tc>
                <w:tcPr>
                  <w:tcW w:w="1142"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10.00</w:t>
                  </w:r>
                </w:p>
              </w:tc>
              <w:tc>
                <w:tcPr>
                  <w:tcW w:w="969"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p>
              </w:tc>
              <w:tc>
                <w:tcPr>
                  <w:tcW w:w="3441"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年平均质量浓度</w:t>
                  </w:r>
                </w:p>
              </w:tc>
              <w:tc>
                <w:tcPr>
                  <w:tcW w:w="1273"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1330"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w:t>
                  </w:r>
                </w:p>
              </w:tc>
              <w:tc>
                <w:tcPr>
                  <w:tcW w:w="1142"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30.00</w:t>
                  </w:r>
                </w:p>
              </w:tc>
              <w:tc>
                <w:tcPr>
                  <w:tcW w:w="969"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CO</w:t>
                  </w:r>
                </w:p>
              </w:tc>
              <w:tc>
                <w:tcPr>
                  <w:tcW w:w="3441"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95%百分位数24小时平均</w:t>
                  </w:r>
                </w:p>
              </w:tc>
              <w:tc>
                <w:tcPr>
                  <w:tcW w:w="1273"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4mg/m</w:t>
                  </w:r>
                  <w:r>
                    <w:rPr>
                      <w:rFonts w:hint="default" w:ascii="Times New Roman" w:hAnsi="Times New Roman" w:eastAsia="宋体" w:cs="Times New Roman"/>
                      <w:color w:val="auto"/>
                      <w:vertAlign w:val="superscript"/>
                    </w:rPr>
                    <w:t>3</w:t>
                  </w:r>
                </w:p>
              </w:tc>
              <w:tc>
                <w:tcPr>
                  <w:tcW w:w="1330"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0.8</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p>
              </w:tc>
              <w:tc>
                <w:tcPr>
                  <w:tcW w:w="1142"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20.00</w:t>
                  </w:r>
                </w:p>
              </w:tc>
              <w:tc>
                <w:tcPr>
                  <w:tcW w:w="969"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O</w:t>
                  </w:r>
                  <w:r>
                    <w:rPr>
                      <w:rFonts w:hint="default" w:ascii="Times New Roman" w:hAnsi="Times New Roman" w:eastAsia="宋体" w:cs="Times New Roman"/>
                      <w:color w:val="auto"/>
                      <w:vertAlign w:val="subscript"/>
                    </w:rPr>
                    <w:t>3</w:t>
                  </w:r>
                </w:p>
              </w:tc>
              <w:tc>
                <w:tcPr>
                  <w:tcW w:w="3441"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90%百分位数日最大8小时滑动平均</w:t>
                  </w:r>
                </w:p>
              </w:tc>
              <w:tc>
                <w:tcPr>
                  <w:tcW w:w="1273"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160</w:t>
                  </w:r>
                </w:p>
              </w:tc>
              <w:tc>
                <w:tcPr>
                  <w:tcW w:w="1330"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149</w:t>
                  </w:r>
                </w:p>
              </w:tc>
              <w:tc>
                <w:tcPr>
                  <w:tcW w:w="1142"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93.13</w:t>
                  </w:r>
                </w:p>
              </w:tc>
              <w:tc>
                <w:tcPr>
                  <w:tcW w:w="969" w:type="dxa"/>
                  <w:tcBorders>
                    <w:top w:val="single" w:color="auto" w:sz="4" w:space="0"/>
                    <w:left w:val="single" w:color="auto" w:sz="4" w:space="0"/>
                    <w:bottom w:val="single" w:color="auto" w:sz="4" w:space="0"/>
                    <w:right w:val="single" w:color="auto" w:sz="4" w:space="0"/>
                  </w:tcBorders>
                  <w:vAlign w:val="center"/>
                </w:tcPr>
                <w:p>
                  <w:pPr>
                    <w:pStyle w:val="12"/>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bl>
          <w:p>
            <w:pPr>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根据上表可知宜春市奉新县范围</w:t>
            </w:r>
            <w:r>
              <w:rPr>
                <w:rFonts w:hint="default" w:ascii="Times New Roman" w:hAnsi="Times New Roman" w:eastAsia="宋体" w:cs="Times New Roman"/>
                <w:bCs/>
                <w:color w:val="auto"/>
                <w:sz w:val="24"/>
              </w:rPr>
              <w:t>内二氧化硫、二氧化氮、可吸入颗粒物（PM</w:t>
            </w:r>
            <w:r>
              <w:rPr>
                <w:rFonts w:hint="default" w:ascii="Times New Roman" w:hAnsi="Times New Roman" w:eastAsia="宋体" w:cs="Times New Roman"/>
                <w:bCs/>
                <w:color w:val="auto"/>
                <w:sz w:val="24"/>
                <w:vertAlign w:val="subscript"/>
              </w:rPr>
              <w:t>10</w:t>
            </w:r>
            <w:r>
              <w:rPr>
                <w:rFonts w:hint="default" w:ascii="Times New Roman" w:hAnsi="Times New Roman" w:eastAsia="宋体" w:cs="Times New Roman"/>
                <w:bCs/>
                <w:color w:val="auto"/>
                <w:sz w:val="24"/>
              </w:rPr>
              <w:t>）、细颗粒物PM</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vertAlign w:val="subscript"/>
                <w:lang w:eastAsia="zh-CN"/>
              </w:rPr>
              <w:t>5</w:t>
            </w:r>
            <w:r>
              <w:rPr>
                <w:rFonts w:hint="default" w:ascii="Times New Roman" w:hAnsi="Times New Roman" w:eastAsia="宋体" w:cs="Times New Roman"/>
                <w:bCs/>
                <w:color w:val="auto"/>
                <w:sz w:val="24"/>
                <w:vertAlign w:val="baseline"/>
                <w:lang w:eastAsia="zh-CN"/>
              </w:rPr>
              <w:t>、</w:t>
            </w:r>
            <w:r>
              <w:rPr>
                <w:rFonts w:hint="default" w:ascii="Times New Roman" w:hAnsi="Times New Roman" w:eastAsia="宋体" w:cs="Times New Roman"/>
                <w:bCs/>
                <w:color w:val="auto"/>
                <w:sz w:val="24"/>
              </w:rPr>
              <w:t>一氧化碳、臭氧（O</w:t>
            </w:r>
            <w:r>
              <w:rPr>
                <w:rFonts w:hint="default" w:ascii="Times New Roman" w:hAnsi="Times New Roman" w:eastAsia="宋体" w:cs="Times New Roman"/>
                <w:bCs/>
                <w:color w:val="auto"/>
                <w:sz w:val="24"/>
                <w:vertAlign w:val="subscript"/>
              </w:rPr>
              <w:t>3</w:t>
            </w:r>
            <w:r>
              <w:rPr>
                <w:rFonts w:hint="default" w:ascii="Times New Roman" w:hAnsi="Times New Roman" w:eastAsia="宋体" w:cs="Times New Roman"/>
                <w:bCs/>
                <w:color w:val="auto"/>
                <w:sz w:val="24"/>
              </w:rPr>
              <w:t>）均符合《环境空气质量标准》（GB3095-2012）二级标准，项目所在地为达标区。</w:t>
            </w:r>
          </w:p>
          <w:p>
            <w:pPr>
              <w:numPr>
                <w:ilvl w:val="0"/>
                <w:numId w:val="0"/>
              </w:numPr>
              <w:spacing w:line="360" w:lineRule="auto"/>
              <w:ind w:firstLine="480" w:firstLineChars="200"/>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lang w:eastAsia="zh-CN"/>
              </w:rPr>
              <w:t>）其他污染物</w:t>
            </w:r>
          </w:p>
          <w:p>
            <w:pPr>
              <w:numPr>
                <w:ilvl w:val="0"/>
                <w:numId w:val="0"/>
              </w:numPr>
              <w:spacing w:line="360" w:lineRule="auto"/>
              <w:ind w:firstLine="480" w:firstLineChars="200"/>
              <w:rPr>
                <w:rFonts w:hint="eastAsia" w:ascii="Times New Roman" w:hAnsi="Times New Roman" w:eastAsia="宋体" w:cs="Times New Roman"/>
                <w:b/>
                <w:bCs/>
                <w:color w:val="auto"/>
                <w:kern w:val="0"/>
                <w:szCs w:val="21"/>
                <w:lang w:val="en-US" w:eastAsia="zh-CN"/>
              </w:rPr>
            </w:pPr>
            <w:r>
              <w:rPr>
                <w:rFonts w:hint="eastAsia"/>
                <w:color w:val="auto"/>
                <w:sz w:val="24"/>
                <w:szCs w:val="32"/>
                <w:highlight w:val="none"/>
              </w:rPr>
              <w:t>本项目排放的环境空气特征污染物为</w:t>
            </w:r>
            <w:r>
              <w:rPr>
                <w:rFonts w:hint="eastAsia"/>
                <w:color w:val="auto"/>
                <w:sz w:val="24"/>
                <w:szCs w:val="32"/>
                <w:highlight w:val="none"/>
                <w:lang w:val="en-US" w:eastAsia="zh-CN"/>
              </w:rPr>
              <w:t>TSP及氟化物</w:t>
            </w:r>
            <w:r>
              <w:rPr>
                <w:rFonts w:hint="eastAsia"/>
                <w:color w:val="auto"/>
                <w:sz w:val="24"/>
                <w:szCs w:val="32"/>
                <w:highlight w:val="none"/>
              </w:rPr>
              <w:t>，为了解项目周围环境空气质量现状</w:t>
            </w:r>
            <w:r>
              <w:rPr>
                <w:rFonts w:hint="eastAsia"/>
                <w:color w:val="auto"/>
                <w:sz w:val="24"/>
                <w:szCs w:val="32"/>
                <w:highlight w:val="none"/>
                <w:lang w:eastAsia="zh-CN"/>
              </w:rPr>
              <w:t>，本次环评引用《江西奉新高新技术产业园区调区规划环境影响报告书》中的监测数据，报告编号</w:t>
            </w:r>
            <w:r>
              <w:rPr>
                <w:rFonts w:hint="eastAsia"/>
                <w:color w:val="auto"/>
                <w:sz w:val="24"/>
                <w:szCs w:val="32"/>
                <w:highlight w:val="none"/>
                <w:lang w:val="en-US" w:eastAsia="zh-CN"/>
              </w:rPr>
              <w:t>SK-2201-557，该项目委托江西三科检测有限公司于2022年2月在“陶家庄”设置1个监测点位，本次引用该监测点位氟化物及TSP的监测数据。“陶家庄”在本项目下风向，距离为2652m，引用可行。引用的TSP及氟化物监测报告时间为2022年2月8日-15日，大气环境现状检测结果具体见下表。</w:t>
            </w:r>
          </w:p>
          <w:p>
            <w:pPr>
              <w:tabs>
                <w:tab w:val="left" w:pos="3822"/>
              </w:tabs>
              <w:adjustRightInd w:val="0"/>
              <w:snapToGrid w:val="0"/>
              <w:spacing w:line="240" w:lineRule="auto"/>
              <w:jc w:val="center"/>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表3-2 大气环境现状监测点位一览表</w:t>
            </w:r>
          </w:p>
          <w:tbl>
            <w:tblPr>
              <w:tblStyle w:val="58"/>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1"/>
              <w:gridCol w:w="1812"/>
              <w:gridCol w:w="2369"/>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1" w:type="dxa"/>
                  <w:vMerge w:val="restart"/>
                  <w:vAlign w:val="center"/>
                </w:tcPr>
                <w:p>
                  <w:pPr>
                    <w:widowControl/>
                    <w:jc w:val="center"/>
                    <w:textAlignment w:val="center"/>
                    <w:rPr>
                      <w:rFonts w:hint="default"/>
                      <w:color w:val="auto"/>
                      <w:sz w:val="24"/>
                      <w:szCs w:val="32"/>
                      <w:highlight w:val="none"/>
                      <w:vertAlign w:val="baseline"/>
                      <w:lang w:val="en-US" w:eastAsia="zh-CN"/>
                    </w:rPr>
                  </w:pPr>
                  <w:r>
                    <w:rPr>
                      <w:rFonts w:ascii="Times New Roman" w:hAnsi="Times New Roman" w:eastAsia="宋体" w:cs="Times New Roman"/>
                      <w:b/>
                      <w:bCs/>
                      <w:color w:val="auto"/>
                      <w:szCs w:val="21"/>
                      <w:highlight w:val="none"/>
                    </w:rPr>
                    <w:t>监测点名称</w:t>
                  </w:r>
                </w:p>
              </w:tc>
              <w:tc>
                <w:tcPr>
                  <w:tcW w:w="4181" w:type="dxa"/>
                  <w:gridSpan w:val="2"/>
                  <w:vAlign w:val="center"/>
                </w:tcPr>
                <w:p>
                  <w:pPr>
                    <w:widowControl/>
                    <w:jc w:val="center"/>
                    <w:textAlignment w:val="center"/>
                    <w:rPr>
                      <w:rFonts w:hint="default"/>
                      <w:color w:val="auto"/>
                      <w:sz w:val="24"/>
                      <w:szCs w:val="32"/>
                      <w:highlight w:val="none"/>
                      <w:vertAlign w:val="baseline"/>
                      <w:lang w:val="en-US" w:eastAsia="zh-CN"/>
                    </w:rPr>
                  </w:pPr>
                  <w:r>
                    <w:rPr>
                      <w:rFonts w:ascii="Times New Roman" w:hAnsi="Times New Roman" w:eastAsia="宋体" w:cs="Times New Roman"/>
                      <w:b/>
                      <w:bCs/>
                      <w:color w:val="auto"/>
                      <w:szCs w:val="21"/>
                      <w:highlight w:val="none"/>
                    </w:rPr>
                    <w:t>监测点位坐标</w:t>
                  </w:r>
                </w:p>
              </w:tc>
              <w:tc>
                <w:tcPr>
                  <w:tcW w:w="2304" w:type="dxa"/>
                  <w:vMerge w:val="restart"/>
                  <w:vAlign w:val="center"/>
                </w:tcPr>
                <w:p>
                  <w:pPr>
                    <w:widowControl/>
                    <w:jc w:val="center"/>
                    <w:textAlignment w:val="center"/>
                    <w:rPr>
                      <w:rFonts w:hint="default"/>
                      <w:color w:val="auto"/>
                      <w:sz w:val="24"/>
                      <w:szCs w:val="32"/>
                      <w:highlight w:val="none"/>
                      <w:vertAlign w:val="baseline"/>
                      <w:lang w:val="en-US" w:eastAsia="zh-CN"/>
                    </w:rPr>
                  </w:pPr>
                  <w:r>
                    <w:rPr>
                      <w:rFonts w:ascii="Times New Roman" w:hAnsi="Times New Roman" w:eastAsia="宋体" w:cs="Times New Roman"/>
                      <w:b/>
                      <w:bCs/>
                      <w:color w:val="auto"/>
                      <w:szCs w:val="21"/>
                      <w:highlight w:val="none"/>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1" w:type="dxa"/>
                  <w:vMerge w:val="continue"/>
                  <w:vAlign w:val="center"/>
                </w:tcPr>
                <w:p>
                  <w:pPr>
                    <w:widowControl/>
                    <w:jc w:val="center"/>
                    <w:textAlignment w:val="center"/>
                    <w:rPr>
                      <w:rFonts w:hint="default"/>
                      <w:color w:val="auto"/>
                      <w:sz w:val="24"/>
                      <w:szCs w:val="32"/>
                      <w:highlight w:val="none"/>
                      <w:vertAlign w:val="baseline"/>
                      <w:lang w:val="en-US" w:eastAsia="zh-CN"/>
                    </w:rPr>
                  </w:pPr>
                </w:p>
              </w:tc>
              <w:tc>
                <w:tcPr>
                  <w:tcW w:w="1812" w:type="dxa"/>
                  <w:vAlign w:val="center"/>
                </w:tcPr>
                <w:p>
                  <w:pPr>
                    <w:widowControl/>
                    <w:jc w:val="center"/>
                    <w:textAlignment w:val="center"/>
                    <w:rPr>
                      <w:rFonts w:hint="default"/>
                      <w:color w:val="auto"/>
                      <w:sz w:val="24"/>
                      <w:szCs w:val="32"/>
                      <w:highlight w:val="none"/>
                      <w:vertAlign w:val="baseline"/>
                      <w:lang w:val="en-US" w:eastAsia="zh-CN"/>
                    </w:rPr>
                  </w:pPr>
                  <w:r>
                    <w:rPr>
                      <w:rFonts w:ascii="Times New Roman" w:hAnsi="Times New Roman" w:eastAsia="宋体" w:cs="Times New Roman"/>
                      <w:color w:val="auto"/>
                      <w:szCs w:val="21"/>
                      <w:highlight w:val="none"/>
                    </w:rPr>
                    <w:t>经度</w:t>
                  </w:r>
                </w:p>
              </w:tc>
              <w:tc>
                <w:tcPr>
                  <w:tcW w:w="2369" w:type="dxa"/>
                  <w:vAlign w:val="center"/>
                </w:tcPr>
                <w:p>
                  <w:pPr>
                    <w:widowControl/>
                    <w:jc w:val="center"/>
                    <w:textAlignment w:val="center"/>
                    <w:rPr>
                      <w:rFonts w:hint="default"/>
                      <w:color w:val="auto"/>
                      <w:sz w:val="24"/>
                      <w:szCs w:val="32"/>
                      <w:highlight w:val="none"/>
                      <w:vertAlign w:val="baseline"/>
                      <w:lang w:val="en-US" w:eastAsia="zh-CN"/>
                    </w:rPr>
                  </w:pPr>
                  <w:r>
                    <w:rPr>
                      <w:rFonts w:ascii="Times New Roman" w:hAnsi="Times New Roman" w:eastAsia="宋体" w:cs="Times New Roman"/>
                      <w:color w:val="auto"/>
                      <w:szCs w:val="21"/>
                      <w:highlight w:val="none"/>
                    </w:rPr>
                    <w:t>纬度</w:t>
                  </w:r>
                </w:p>
              </w:tc>
              <w:tc>
                <w:tcPr>
                  <w:tcW w:w="2304" w:type="dxa"/>
                  <w:vMerge w:val="continue"/>
                  <w:vAlign w:val="center"/>
                </w:tcPr>
                <w:p>
                  <w:pPr>
                    <w:widowControl/>
                    <w:jc w:val="center"/>
                    <w:textAlignment w:val="center"/>
                    <w:rPr>
                      <w:rFonts w:hint="default"/>
                      <w:color w:val="auto"/>
                      <w:sz w:val="24"/>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1" w:type="dxa"/>
                  <w:vAlign w:val="center"/>
                </w:tcPr>
                <w:p>
                  <w:pPr>
                    <w:widowControl/>
                    <w:jc w:val="center"/>
                    <w:textAlignment w:val="center"/>
                    <w:rPr>
                      <w:rFonts w:hint="default"/>
                      <w:color w:val="auto"/>
                      <w:sz w:val="24"/>
                      <w:szCs w:val="32"/>
                      <w:highlight w:val="none"/>
                      <w:vertAlign w:val="baseline"/>
                      <w:lang w:val="en-US" w:eastAsia="zh-CN"/>
                    </w:rPr>
                  </w:pPr>
                  <w:r>
                    <w:rPr>
                      <w:rFonts w:hint="eastAsia" w:ascii="Times New Roman" w:hAnsi="Times New Roman" w:eastAsia="宋体" w:cs="Times New Roman"/>
                      <w:color w:val="auto"/>
                      <w:szCs w:val="21"/>
                      <w:highlight w:val="none"/>
                      <w:lang w:val="en-US" w:eastAsia="zh-CN"/>
                    </w:rPr>
                    <w:t>A1陶家庄</w:t>
                  </w:r>
                </w:p>
              </w:tc>
              <w:tc>
                <w:tcPr>
                  <w:tcW w:w="1812" w:type="dxa"/>
                  <w:vAlign w:val="center"/>
                </w:tcPr>
                <w:p>
                  <w:pPr>
                    <w:widowControl/>
                    <w:jc w:val="center"/>
                    <w:textAlignment w:val="center"/>
                    <w:rPr>
                      <w:rFonts w:hint="default"/>
                      <w:color w:val="auto"/>
                      <w:sz w:val="24"/>
                      <w:szCs w:val="32"/>
                      <w:highlight w:val="none"/>
                      <w:vertAlign w:val="baseline"/>
                      <w:lang w:val="en-US" w:eastAsia="zh-CN"/>
                    </w:rPr>
                  </w:pPr>
                  <w:r>
                    <w:rPr>
                      <w:rFonts w:hint="eastAsia" w:ascii="Times New Roman" w:hAnsi="Times New Roman" w:eastAsia="宋体" w:cs="Times New Roman"/>
                      <w:color w:val="auto"/>
                      <w:szCs w:val="21"/>
                      <w:highlight w:val="none"/>
                      <w:lang w:val="en-US" w:eastAsia="zh-CN"/>
                    </w:rPr>
                    <w:t>115</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24</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50.124</w:t>
                  </w:r>
                  <w:r>
                    <w:rPr>
                      <w:rFonts w:hint="default" w:ascii="Times New Roman" w:hAnsi="Times New Roman" w:eastAsia="宋体" w:cs="Times New Roman"/>
                      <w:color w:val="auto"/>
                      <w:szCs w:val="21"/>
                      <w:highlight w:val="none"/>
                      <w:lang w:val="en-US" w:eastAsia="zh-CN"/>
                    </w:rPr>
                    <w:t>″</w:t>
                  </w:r>
                </w:p>
              </w:tc>
              <w:tc>
                <w:tcPr>
                  <w:tcW w:w="2369" w:type="dxa"/>
                  <w:vAlign w:val="center"/>
                </w:tcPr>
                <w:p>
                  <w:pPr>
                    <w:widowControl/>
                    <w:jc w:val="center"/>
                    <w:textAlignment w:val="center"/>
                    <w:rPr>
                      <w:rFonts w:hint="default"/>
                      <w:color w:val="auto"/>
                      <w:sz w:val="24"/>
                      <w:szCs w:val="32"/>
                      <w:highlight w:val="none"/>
                      <w:vertAlign w:val="baseline"/>
                      <w:lang w:val="en-US" w:eastAsia="zh-CN"/>
                    </w:rPr>
                  </w:pPr>
                  <w:r>
                    <w:rPr>
                      <w:rFonts w:hint="eastAsia" w:ascii="Times New Roman" w:hAnsi="Times New Roman" w:eastAsia="宋体" w:cs="Times New Roman"/>
                      <w:color w:val="auto"/>
                      <w:szCs w:val="21"/>
                      <w:highlight w:val="none"/>
                      <w:lang w:val="en-US" w:eastAsia="zh-CN"/>
                    </w:rPr>
                    <w:t>28</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39</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35.614</w:t>
                  </w:r>
                  <w:r>
                    <w:rPr>
                      <w:rFonts w:hint="default" w:ascii="Times New Roman" w:hAnsi="Times New Roman" w:eastAsia="宋体" w:cs="Times New Roman"/>
                      <w:color w:val="auto"/>
                      <w:szCs w:val="21"/>
                      <w:highlight w:val="none"/>
                      <w:lang w:val="en-US" w:eastAsia="zh-CN"/>
                    </w:rPr>
                    <w:t>″</w:t>
                  </w:r>
                </w:p>
              </w:tc>
              <w:tc>
                <w:tcPr>
                  <w:tcW w:w="2304" w:type="dxa"/>
                  <w:vAlign w:val="center"/>
                </w:tcPr>
                <w:p>
                  <w:pPr>
                    <w:widowControl/>
                    <w:jc w:val="center"/>
                    <w:textAlignment w:val="center"/>
                    <w:rPr>
                      <w:rFonts w:hint="default"/>
                      <w:color w:val="auto"/>
                      <w:sz w:val="24"/>
                      <w:szCs w:val="32"/>
                      <w:highlight w:val="none"/>
                      <w:vertAlign w:val="baseline"/>
                      <w:lang w:val="en-US" w:eastAsia="zh-CN"/>
                    </w:rPr>
                  </w:pPr>
                  <w:r>
                    <w:rPr>
                      <w:rFonts w:hint="eastAsia" w:ascii="Times New Roman" w:hAnsi="Times New Roman" w:eastAsia="宋体" w:cs="Times New Roman"/>
                      <w:color w:val="auto"/>
                      <w:szCs w:val="21"/>
                      <w:highlight w:val="none"/>
                      <w:lang w:val="en-US" w:eastAsia="zh-CN"/>
                    </w:rPr>
                    <w:t>TSP、氟化物</w:t>
                  </w:r>
                </w:p>
              </w:tc>
            </w:tr>
          </w:tbl>
          <w:p>
            <w:pPr>
              <w:tabs>
                <w:tab w:val="left" w:pos="3822"/>
              </w:tabs>
              <w:adjustRightInd w:val="0"/>
              <w:snapToGrid w:val="0"/>
              <w:spacing w:line="240" w:lineRule="auto"/>
              <w:jc w:val="center"/>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表3-3 环境空气评价结果</w:t>
            </w:r>
          </w:p>
          <w:tbl>
            <w:tblPr>
              <w:tblStyle w:val="5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200"/>
              <w:gridCol w:w="2670"/>
              <w:gridCol w:w="1545"/>
              <w:gridCol w:w="1409"/>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restart"/>
                  <w:vAlign w:val="center"/>
                </w:tcPr>
                <w:p>
                  <w:pPr>
                    <w:widowControl/>
                    <w:jc w:val="center"/>
                    <w:textAlignment w:val="center"/>
                    <w:rPr>
                      <w:rFonts w:hint="default"/>
                      <w:color w:val="auto"/>
                      <w:vertAlign w:val="baseline"/>
                      <w:lang w:val="en-US" w:eastAsia="zh-CN"/>
                    </w:rPr>
                  </w:pPr>
                  <w:r>
                    <w:rPr>
                      <w:rFonts w:hint="default" w:ascii="Times New Roman" w:hAnsi="Times New Roman" w:eastAsia="宋体" w:cs="Times New Roman"/>
                      <w:b/>
                      <w:bCs/>
                      <w:color w:val="auto"/>
                      <w:szCs w:val="21"/>
                      <w:highlight w:val="none"/>
                      <w:lang w:val="en-US" w:eastAsia="zh-CN"/>
                    </w:rPr>
                    <w:t>监测点位</w:t>
                  </w:r>
                </w:p>
              </w:tc>
              <w:tc>
                <w:tcPr>
                  <w:tcW w:w="1200" w:type="dxa"/>
                  <w:vMerge w:val="restart"/>
                  <w:vAlign w:val="center"/>
                </w:tcPr>
                <w:p>
                  <w:pPr>
                    <w:widowControl/>
                    <w:jc w:val="center"/>
                    <w:textAlignment w:val="center"/>
                    <w:rPr>
                      <w:rFonts w:hint="default"/>
                      <w:color w:val="auto"/>
                      <w:vertAlign w:val="baseline"/>
                      <w:lang w:val="en-US" w:eastAsia="zh-CN"/>
                    </w:rPr>
                  </w:pPr>
                  <w:r>
                    <w:rPr>
                      <w:rFonts w:hint="default" w:ascii="Times New Roman" w:hAnsi="Times New Roman" w:eastAsia="宋体" w:cs="Times New Roman"/>
                      <w:b/>
                      <w:bCs/>
                      <w:color w:val="auto"/>
                      <w:szCs w:val="21"/>
                      <w:highlight w:val="none"/>
                      <w:lang w:val="en-US" w:eastAsia="zh-CN"/>
                    </w:rPr>
                    <w:t>监测因子</w:t>
                  </w:r>
                </w:p>
              </w:tc>
              <w:tc>
                <w:tcPr>
                  <w:tcW w:w="2670" w:type="dxa"/>
                  <w:vMerge w:val="restart"/>
                  <w:vAlign w:val="center"/>
                </w:tcPr>
                <w:p>
                  <w:pPr>
                    <w:widowControl/>
                    <w:jc w:val="center"/>
                    <w:textAlignment w:val="center"/>
                    <w:rPr>
                      <w:rFonts w:hint="default"/>
                      <w:color w:val="auto"/>
                      <w:vertAlign w:val="baseline"/>
                      <w:lang w:val="en-US" w:eastAsia="zh-CN"/>
                    </w:rPr>
                  </w:pPr>
                  <w:r>
                    <w:rPr>
                      <w:rFonts w:hint="eastAsia" w:ascii="Times New Roman" w:hAnsi="Times New Roman" w:eastAsia="宋体" w:cs="Times New Roman"/>
                      <w:b/>
                      <w:bCs/>
                      <w:color w:val="auto"/>
                      <w:szCs w:val="21"/>
                      <w:highlight w:val="none"/>
                      <w:lang w:val="en-US" w:eastAsia="zh-CN"/>
                    </w:rPr>
                    <w:t>采样时间</w:t>
                  </w:r>
                </w:p>
              </w:tc>
              <w:tc>
                <w:tcPr>
                  <w:tcW w:w="1545" w:type="dxa"/>
                  <w:vAlign w:val="center"/>
                </w:tcPr>
                <w:p>
                  <w:pPr>
                    <w:widowControl/>
                    <w:jc w:val="center"/>
                    <w:textAlignment w:val="center"/>
                    <w:rPr>
                      <w:rFonts w:hint="default"/>
                      <w:color w:val="auto"/>
                      <w:vertAlign w:val="baseline"/>
                      <w:lang w:val="en-US" w:eastAsia="zh-CN"/>
                    </w:rPr>
                  </w:pPr>
                  <w:r>
                    <w:rPr>
                      <w:rFonts w:hint="eastAsia" w:ascii="Times New Roman" w:hAnsi="Times New Roman" w:eastAsia="宋体" w:cs="Times New Roman"/>
                      <w:b/>
                      <w:bCs/>
                      <w:color w:val="auto"/>
                      <w:szCs w:val="21"/>
                      <w:highlight w:val="none"/>
                      <w:lang w:val="en-US" w:eastAsia="zh-CN"/>
                    </w:rPr>
                    <w:t>检测浓度</w:t>
                  </w:r>
                </w:p>
              </w:tc>
              <w:tc>
                <w:tcPr>
                  <w:tcW w:w="1409" w:type="dxa"/>
                  <w:vAlign w:val="center"/>
                </w:tcPr>
                <w:p>
                  <w:pPr>
                    <w:widowControl/>
                    <w:jc w:val="center"/>
                    <w:textAlignment w:val="center"/>
                    <w:rPr>
                      <w:rFonts w:hint="default"/>
                      <w:color w:val="auto"/>
                      <w:vertAlign w:val="baseline"/>
                      <w:lang w:val="en-US" w:eastAsia="zh-CN"/>
                    </w:rPr>
                  </w:pPr>
                  <w:r>
                    <w:rPr>
                      <w:rFonts w:hint="eastAsia" w:ascii="Times New Roman" w:hAnsi="Times New Roman" w:eastAsia="宋体" w:cs="Times New Roman"/>
                      <w:b/>
                      <w:bCs/>
                      <w:color w:val="auto"/>
                      <w:szCs w:val="21"/>
                      <w:highlight w:val="none"/>
                      <w:lang w:val="en-US" w:eastAsia="zh-CN"/>
                    </w:rPr>
                    <w:t>浓度限值</w:t>
                  </w:r>
                </w:p>
              </w:tc>
              <w:tc>
                <w:tcPr>
                  <w:tcW w:w="1286" w:type="dxa"/>
                  <w:vMerge w:val="restart"/>
                  <w:vAlign w:val="center"/>
                </w:tcPr>
                <w:p>
                  <w:pPr>
                    <w:widowControl/>
                    <w:jc w:val="center"/>
                    <w:textAlignment w:val="center"/>
                    <w:rPr>
                      <w:rFonts w:hint="default"/>
                      <w:color w:val="auto"/>
                      <w:vertAlign w:val="baseline"/>
                      <w:lang w:val="en-US" w:eastAsia="zh-CN"/>
                    </w:rPr>
                  </w:pPr>
                  <w:r>
                    <w:rPr>
                      <w:rFonts w:hint="default" w:ascii="Times New Roman" w:hAnsi="Times New Roman" w:eastAsia="宋体" w:cs="Times New Roman"/>
                      <w:b/>
                      <w:bCs/>
                      <w:color w:val="auto"/>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default"/>
                      <w:color w:val="auto"/>
                      <w:vertAlign w:val="baseline"/>
                      <w:lang w:val="en-US" w:eastAsia="zh-CN"/>
                    </w:rPr>
                  </w:pPr>
                </w:p>
              </w:tc>
              <w:tc>
                <w:tcPr>
                  <w:tcW w:w="1200" w:type="dxa"/>
                  <w:vMerge w:val="continue"/>
                  <w:vAlign w:val="center"/>
                </w:tcPr>
                <w:p>
                  <w:pPr>
                    <w:widowControl/>
                    <w:jc w:val="center"/>
                    <w:textAlignment w:val="center"/>
                    <w:rPr>
                      <w:rFonts w:hint="default"/>
                      <w:color w:val="auto"/>
                      <w:vertAlign w:val="baseline"/>
                      <w:lang w:val="en-US" w:eastAsia="zh-CN"/>
                    </w:rPr>
                  </w:pPr>
                </w:p>
              </w:tc>
              <w:tc>
                <w:tcPr>
                  <w:tcW w:w="2670" w:type="dxa"/>
                  <w:vMerge w:val="continue"/>
                  <w:vAlign w:val="center"/>
                </w:tcPr>
                <w:p>
                  <w:pPr>
                    <w:widowControl/>
                    <w:jc w:val="center"/>
                    <w:textAlignment w:val="center"/>
                    <w:rPr>
                      <w:rFonts w:hint="default"/>
                      <w:color w:val="auto"/>
                      <w:vertAlign w:val="baseline"/>
                      <w:lang w:val="en-US" w:eastAsia="zh-CN"/>
                    </w:rPr>
                  </w:pPr>
                </w:p>
              </w:tc>
              <w:tc>
                <w:tcPr>
                  <w:tcW w:w="1545" w:type="dxa"/>
                  <w:vAlign w:val="center"/>
                </w:tcPr>
                <w:p>
                  <w:pPr>
                    <w:widowControl/>
                    <w:jc w:val="center"/>
                    <w:textAlignment w:val="center"/>
                    <w:rPr>
                      <w:rFonts w:hint="default"/>
                      <w:color w:val="auto"/>
                      <w:vertAlign w:val="baseline"/>
                      <w:lang w:val="en-US" w:eastAsia="zh-CN"/>
                    </w:rPr>
                  </w:pPr>
                  <w:r>
                    <w:rPr>
                      <w:rFonts w:hint="default" w:ascii="Times New Roman" w:hAnsi="Times New Roman" w:eastAsia="宋体" w:cs="Times New Roman"/>
                      <w:color w:val="auto"/>
                      <w:szCs w:val="21"/>
                      <w:highlight w:val="none"/>
                      <w:lang w:val="en-US" w:eastAsia="zh-CN"/>
                    </w:rPr>
                    <w:t>（µg/m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w:t>
                  </w:r>
                </w:p>
              </w:tc>
              <w:tc>
                <w:tcPr>
                  <w:tcW w:w="1409" w:type="dxa"/>
                  <w:vAlign w:val="center"/>
                </w:tcPr>
                <w:p>
                  <w:pPr>
                    <w:widowControl/>
                    <w:jc w:val="center"/>
                    <w:textAlignment w:val="center"/>
                    <w:rPr>
                      <w:rFonts w:hint="default"/>
                      <w:color w:val="auto"/>
                      <w:vertAlign w:val="baseline"/>
                      <w:lang w:val="en-US" w:eastAsia="zh-CN"/>
                    </w:rPr>
                  </w:pPr>
                  <w:r>
                    <w:rPr>
                      <w:rFonts w:hint="default" w:ascii="Times New Roman" w:hAnsi="Times New Roman" w:eastAsia="宋体" w:cs="Times New Roman"/>
                      <w:color w:val="auto"/>
                      <w:szCs w:val="21"/>
                      <w:highlight w:val="none"/>
                      <w:lang w:val="en-US" w:eastAsia="zh-CN"/>
                    </w:rPr>
                    <w:t>（µg/m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w:t>
                  </w:r>
                </w:p>
              </w:tc>
              <w:tc>
                <w:tcPr>
                  <w:tcW w:w="1286" w:type="dxa"/>
                  <w:vMerge w:val="continue"/>
                  <w:vAlign w:val="center"/>
                </w:tcPr>
                <w:p>
                  <w:pPr>
                    <w:widowControl/>
                    <w:jc w:val="center"/>
                    <w:textAlignment w:val="center"/>
                    <w:rPr>
                      <w:rFonts w:hint="default"/>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restart"/>
                  <w:vAlign w:val="center"/>
                </w:tcPr>
                <w:p>
                  <w:pPr>
                    <w:widowControl/>
                    <w:jc w:val="center"/>
                    <w:textAlignment w:val="center"/>
                    <w:rPr>
                      <w:rFonts w:hint="default"/>
                      <w:color w:val="auto"/>
                      <w:vertAlign w:val="baseline"/>
                      <w:lang w:val="en-US" w:eastAsia="zh-CN"/>
                    </w:rPr>
                  </w:pPr>
                  <w:r>
                    <w:rPr>
                      <w:rFonts w:hint="eastAsia" w:ascii="Times New Roman" w:hAnsi="Times New Roman" w:eastAsia="宋体" w:cs="Times New Roman"/>
                      <w:color w:val="auto"/>
                      <w:szCs w:val="21"/>
                      <w:highlight w:val="none"/>
                      <w:lang w:val="en-US" w:eastAsia="zh-CN"/>
                    </w:rPr>
                    <w:t>陶家庄</w:t>
                  </w:r>
                </w:p>
              </w:tc>
              <w:tc>
                <w:tcPr>
                  <w:tcW w:w="1200" w:type="dxa"/>
                  <w:vMerge w:val="restart"/>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TSP</w:t>
                  </w:r>
                </w:p>
              </w:tc>
              <w:tc>
                <w:tcPr>
                  <w:tcW w:w="2670" w:type="dxa"/>
                  <w:vAlign w:val="center"/>
                </w:tcPr>
                <w:p>
                  <w:pPr>
                    <w:widowControl/>
                    <w:jc w:val="center"/>
                    <w:textAlignment w:val="center"/>
                    <w:rPr>
                      <w:rFonts w:hint="default"/>
                      <w:color w:val="auto"/>
                      <w:vertAlign w:val="baseline"/>
                      <w:lang w:val="en-US" w:eastAsia="zh-CN"/>
                    </w:rPr>
                  </w:pPr>
                  <w:r>
                    <w:rPr>
                      <w:rFonts w:hint="eastAsia" w:ascii="Times New Roman" w:hAnsi="Times New Roman" w:eastAsia="宋体" w:cs="Times New Roman"/>
                      <w:color w:val="auto"/>
                      <w:szCs w:val="21"/>
                      <w:highlight w:val="none"/>
                      <w:lang w:val="en-US" w:eastAsia="zh-CN"/>
                    </w:rPr>
                    <w:t>22.2.8-22.2.9</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44</w:t>
                  </w:r>
                </w:p>
              </w:tc>
              <w:tc>
                <w:tcPr>
                  <w:tcW w:w="1409"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300</w:t>
                  </w:r>
                </w:p>
              </w:tc>
              <w:tc>
                <w:tcPr>
                  <w:tcW w:w="1286" w:type="dxa"/>
                  <w:vAlign w:val="center"/>
                </w:tcPr>
                <w:p>
                  <w:pPr>
                    <w:widowControl/>
                    <w:jc w:val="center"/>
                    <w:textAlignment w:val="center"/>
                    <w:rPr>
                      <w:rFonts w:hint="default"/>
                      <w:color w:val="auto"/>
                      <w:vertAlign w:val="baseli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22.2.9-22.2.10</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46</w:t>
                  </w:r>
                </w:p>
              </w:tc>
              <w:tc>
                <w:tcPr>
                  <w:tcW w:w="1409"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300</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22.2.10-22.2.11</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36</w:t>
                  </w:r>
                </w:p>
              </w:tc>
              <w:tc>
                <w:tcPr>
                  <w:tcW w:w="1409"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300</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22.2.11-22.2.12</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44</w:t>
                  </w:r>
                </w:p>
              </w:tc>
              <w:tc>
                <w:tcPr>
                  <w:tcW w:w="1409" w:type="dxa"/>
                  <w:vAlign w:val="center"/>
                </w:tcPr>
                <w:p>
                  <w:pPr>
                    <w:widowControl/>
                    <w:jc w:val="center"/>
                    <w:textAlignment w:val="center"/>
                    <w:rPr>
                      <w:rFonts w:hint="eastAsia"/>
                      <w:color w:val="auto"/>
                      <w:vertAlign w:val="baseline"/>
                      <w:lang w:val="en-US" w:eastAsia="zh-CN"/>
                    </w:rPr>
                  </w:pPr>
                  <w:r>
                    <w:rPr>
                      <w:rFonts w:hint="eastAsia"/>
                      <w:color w:val="auto"/>
                      <w:vertAlign w:val="baseline"/>
                      <w:lang w:val="en-US" w:eastAsia="zh-CN"/>
                    </w:rPr>
                    <w:t>300</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22.2.12-22.2.13</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41</w:t>
                  </w:r>
                </w:p>
              </w:tc>
              <w:tc>
                <w:tcPr>
                  <w:tcW w:w="1409" w:type="dxa"/>
                  <w:vAlign w:val="center"/>
                </w:tcPr>
                <w:p>
                  <w:pPr>
                    <w:widowControl/>
                    <w:jc w:val="center"/>
                    <w:textAlignment w:val="center"/>
                    <w:rPr>
                      <w:rFonts w:hint="eastAsia"/>
                      <w:color w:val="auto"/>
                      <w:vertAlign w:val="baseline"/>
                      <w:lang w:val="en-US" w:eastAsia="zh-CN"/>
                    </w:rPr>
                  </w:pPr>
                  <w:r>
                    <w:rPr>
                      <w:rFonts w:hint="eastAsia"/>
                      <w:color w:val="auto"/>
                      <w:vertAlign w:val="baseline"/>
                      <w:lang w:val="en-US" w:eastAsia="zh-CN"/>
                    </w:rPr>
                    <w:t>300</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22.2.13-22.2.14</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51</w:t>
                  </w:r>
                </w:p>
              </w:tc>
              <w:tc>
                <w:tcPr>
                  <w:tcW w:w="1409" w:type="dxa"/>
                  <w:vAlign w:val="center"/>
                </w:tcPr>
                <w:p>
                  <w:pPr>
                    <w:widowControl/>
                    <w:jc w:val="center"/>
                    <w:textAlignment w:val="center"/>
                    <w:rPr>
                      <w:rFonts w:hint="eastAsia"/>
                      <w:color w:val="auto"/>
                      <w:vertAlign w:val="baseline"/>
                      <w:lang w:val="en-US" w:eastAsia="zh-CN"/>
                    </w:rPr>
                  </w:pPr>
                  <w:r>
                    <w:rPr>
                      <w:rFonts w:hint="eastAsia"/>
                      <w:color w:val="auto"/>
                      <w:vertAlign w:val="baseline"/>
                      <w:lang w:val="en-US" w:eastAsia="zh-CN"/>
                    </w:rPr>
                    <w:t>300</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22.2.14-22.2.15</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42</w:t>
                  </w:r>
                </w:p>
              </w:tc>
              <w:tc>
                <w:tcPr>
                  <w:tcW w:w="1409" w:type="dxa"/>
                  <w:vAlign w:val="center"/>
                </w:tcPr>
                <w:p>
                  <w:pPr>
                    <w:widowControl/>
                    <w:jc w:val="center"/>
                    <w:textAlignment w:val="center"/>
                    <w:rPr>
                      <w:rFonts w:hint="eastAsia"/>
                      <w:color w:val="auto"/>
                      <w:vertAlign w:val="baseline"/>
                      <w:lang w:val="en-US" w:eastAsia="zh-CN"/>
                    </w:rPr>
                  </w:pPr>
                  <w:r>
                    <w:rPr>
                      <w:rFonts w:hint="eastAsia"/>
                      <w:color w:val="auto"/>
                      <w:vertAlign w:val="baseline"/>
                      <w:lang w:val="en-US" w:eastAsia="zh-CN"/>
                    </w:rPr>
                    <w:t>300</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restart"/>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olor w:val="auto"/>
                      <w:vertAlign w:val="baseline"/>
                      <w:lang w:val="en-US" w:eastAsia="zh-CN"/>
                    </w:rPr>
                    <w:t>氟化物</w:t>
                  </w:r>
                </w:p>
              </w:tc>
              <w:tc>
                <w:tcPr>
                  <w:tcW w:w="2670"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22.2.8-22.2.9</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0.22</w:t>
                  </w:r>
                </w:p>
              </w:tc>
              <w:tc>
                <w:tcPr>
                  <w:tcW w:w="1409"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7</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22.2.9-22.2.10</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0.11</w:t>
                  </w:r>
                </w:p>
              </w:tc>
              <w:tc>
                <w:tcPr>
                  <w:tcW w:w="1409"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7</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22.2.10-22.2.11</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0.08</w:t>
                  </w:r>
                </w:p>
              </w:tc>
              <w:tc>
                <w:tcPr>
                  <w:tcW w:w="1409"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7</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22.2.11-22.2.12</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0.10</w:t>
                  </w:r>
                </w:p>
              </w:tc>
              <w:tc>
                <w:tcPr>
                  <w:tcW w:w="1409"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7</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22.2.12-22.2.13</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0.13</w:t>
                  </w:r>
                </w:p>
              </w:tc>
              <w:tc>
                <w:tcPr>
                  <w:tcW w:w="1409"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7</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22.2.13-22.2.14</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0.19</w:t>
                  </w:r>
                </w:p>
              </w:tc>
              <w:tc>
                <w:tcPr>
                  <w:tcW w:w="1409"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7</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00" w:type="dxa"/>
                  <w:vMerge w:val="continue"/>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2670"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22.2.14-22.2.15</w:t>
                  </w:r>
                </w:p>
              </w:tc>
              <w:tc>
                <w:tcPr>
                  <w:tcW w:w="1545"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0.18</w:t>
                  </w:r>
                </w:p>
              </w:tc>
              <w:tc>
                <w:tcPr>
                  <w:tcW w:w="1409" w:type="dxa"/>
                  <w:vAlign w:val="center"/>
                </w:tcPr>
                <w:p>
                  <w:pPr>
                    <w:widowControl/>
                    <w:jc w:val="center"/>
                    <w:textAlignment w:val="center"/>
                    <w:rPr>
                      <w:rFonts w:hint="default"/>
                      <w:color w:val="auto"/>
                      <w:vertAlign w:val="baseline"/>
                      <w:lang w:val="en-US" w:eastAsia="zh-CN"/>
                    </w:rPr>
                  </w:pPr>
                  <w:r>
                    <w:rPr>
                      <w:rFonts w:hint="eastAsia"/>
                      <w:color w:val="auto"/>
                      <w:vertAlign w:val="baseline"/>
                      <w:lang w:val="en-US" w:eastAsia="zh-CN"/>
                    </w:rPr>
                    <w:t>7</w:t>
                  </w:r>
                </w:p>
              </w:tc>
              <w:tc>
                <w:tcPr>
                  <w:tcW w:w="1286" w:type="dxa"/>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bl>
          <w:p>
            <w:pPr>
              <w:pStyle w:val="75"/>
              <w:rPr>
                <w:rFonts w:hint="eastAsia" w:ascii="Times New Roman" w:hAnsi="Times New Roman" w:cs="Times New Roman"/>
                <w:color w:val="auto"/>
                <w:sz w:val="24"/>
                <w:szCs w:val="32"/>
                <w:highlight w:val="none"/>
                <w:lang w:eastAsia="zh-CN"/>
              </w:rPr>
            </w:pPr>
            <w:r>
              <w:rPr>
                <w:rFonts w:hint="eastAsia"/>
                <w:color w:val="auto"/>
                <w:lang w:val="en-US" w:eastAsia="zh-CN"/>
              </w:rPr>
              <w:t>监测结果表明，项目所在区域TSP能满足《</w:t>
            </w:r>
            <w:r>
              <w:rPr>
                <w:rFonts w:hint="eastAsia" w:ascii="Times New Roman" w:hAnsi="Times New Roman" w:eastAsia="宋体" w:cs="Times New Roman"/>
                <w:color w:val="auto"/>
                <w:sz w:val="24"/>
                <w:szCs w:val="32"/>
                <w:highlight w:val="none"/>
              </w:rPr>
              <w:t>环境空气质量标准》（GB3095-2012）</w:t>
            </w:r>
            <w:r>
              <w:rPr>
                <w:rFonts w:hint="eastAsia" w:ascii="Times New Roman" w:hAnsi="Times New Roman" w:cs="Times New Roman"/>
                <w:color w:val="auto"/>
                <w:sz w:val="24"/>
                <w:szCs w:val="32"/>
                <w:highlight w:val="none"/>
                <w:lang w:eastAsia="zh-CN"/>
              </w:rPr>
              <w:t>表</w:t>
            </w:r>
            <w:r>
              <w:rPr>
                <w:rFonts w:hint="eastAsia" w:ascii="Times New Roman" w:hAnsi="Times New Roman" w:cs="Times New Roman"/>
                <w:color w:val="auto"/>
                <w:sz w:val="24"/>
                <w:szCs w:val="32"/>
                <w:highlight w:val="none"/>
                <w:lang w:val="en-US" w:eastAsia="zh-CN"/>
              </w:rPr>
              <w:t>2</w:t>
            </w:r>
            <w:r>
              <w:rPr>
                <w:rFonts w:hint="eastAsia" w:ascii="Times New Roman" w:hAnsi="Times New Roman" w:eastAsia="宋体" w:cs="Times New Roman"/>
                <w:color w:val="auto"/>
                <w:sz w:val="24"/>
                <w:szCs w:val="32"/>
                <w:highlight w:val="none"/>
              </w:rPr>
              <w:t>中</w:t>
            </w:r>
            <w:r>
              <w:rPr>
                <w:rFonts w:hint="eastAsia" w:ascii="Times New Roman" w:hAnsi="Times New Roman" w:cs="Times New Roman"/>
                <w:color w:val="auto"/>
                <w:sz w:val="24"/>
                <w:szCs w:val="32"/>
                <w:highlight w:val="none"/>
                <w:lang w:eastAsia="zh-CN"/>
              </w:rPr>
              <w:t>二级浓度限值；氟化物能满足《环境空气质量标准》（</w:t>
            </w:r>
            <w:r>
              <w:rPr>
                <w:rFonts w:hint="eastAsia" w:ascii="Times New Roman" w:hAnsi="Times New Roman" w:cs="Times New Roman"/>
                <w:color w:val="auto"/>
                <w:sz w:val="24"/>
                <w:szCs w:val="32"/>
                <w:highlight w:val="none"/>
                <w:lang w:val="en-US" w:eastAsia="zh-CN"/>
              </w:rPr>
              <w:t>GB3095-2012</w:t>
            </w:r>
            <w:r>
              <w:rPr>
                <w:rFonts w:hint="eastAsia" w:ascii="Times New Roman" w:hAnsi="Times New Roman" w:cs="Times New Roman"/>
                <w:color w:val="auto"/>
                <w:sz w:val="24"/>
                <w:szCs w:val="32"/>
                <w:highlight w:val="none"/>
                <w:lang w:eastAsia="zh-CN"/>
              </w:rPr>
              <w:t>）表</w:t>
            </w:r>
            <w:r>
              <w:rPr>
                <w:rFonts w:hint="eastAsia" w:ascii="Times New Roman" w:hAnsi="Times New Roman" w:cs="Times New Roman"/>
                <w:color w:val="auto"/>
                <w:sz w:val="24"/>
                <w:szCs w:val="32"/>
                <w:highlight w:val="none"/>
                <w:lang w:val="en-US" w:eastAsia="zh-CN"/>
              </w:rPr>
              <w:t>A.1中二级浓度限值</w:t>
            </w:r>
            <w:r>
              <w:rPr>
                <w:rFonts w:hint="eastAsia" w:ascii="Times New Roman" w:hAnsi="Times New Roman" w:cs="Times New Roman"/>
                <w:color w:val="auto"/>
                <w:sz w:val="24"/>
                <w:szCs w:val="32"/>
                <w:highlight w:val="none"/>
                <w:lang w:eastAsia="zh-CN"/>
              </w:rPr>
              <w:t>。</w:t>
            </w:r>
          </w:p>
          <w:p>
            <w:pPr>
              <w:spacing w:line="240" w:lineRule="auto"/>
              <w:jc w:val="center"/>
              <w:rPr>
                <w:b/>
                <w:bCs/>
                <w:color w:val="auto"/>
                <w:sz w:val="21"/>
                <w:szCs w:val="21"/>
              </w:rPr>
            </w:pPr>
            <w:r>
              <w:rPr>
                <w:color w:val="auto"/>
              </w:rPr>
              <w:drawing>
                <wp:inline distT="0" distB="0" distL="114300" distR="114300">
                  <wp:extent cx="4275455" cy="2669540"/>
                  <wp:effectExtent l="0" t="0" r="10795" b="1651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1"/>
                          <a:stretch>
                            <a:fillRect/>
                          </a:stretch>
                        </pic:blipFill>
                        <pic:spPr>
                          <a:xfrm>
                            <a:off x="0" y="0"/>
                            <a:ext cx="4275455" cy="2669540"/>
                          </a:xfrm>
                          <a:prstGeom prst="rect">
                            <a:avLst/>
                          </a:prstGeom>
                          <a:noFill/>
                          <a:ln>
                            <a:noFill/>
                          </a:ln>
                        </pic:spPr>
                      </pic:pic>
                    </a:graphicData>
                  </a:graphic>
                </wp:inline>
              </w:drawing>
            </w:r>
          </w:p>
          <w:p>
            <w:pPr>
              <w:pStyle w:val="75"/>
              <w:spacing w:line="240" w:lineRule="auto"/>
              <w:jc w:val="center"/>
              <w:rPr>
                <w:rFonts w:hint="default" w:eastAsia="宋体"/>
                <w:b/>
                <w:bCs/>
                <w:color w:val="auto"/>
                <w:sz w:val="21"/>
                <w:szCs w:val="21"/>
                <w:lang w:val="en-US" w:eastAsia="zh-CN"/>
              </w:rPr>
            </w:pPr>
            <w:r>
              <w:rPr>
                <w:rFonts w:hint="eastAsia"/>
                <w:b/>
                <w:bCs/>
                <w:color w:val="auto"/>
                <w:sz w:val="21"/>
                <w:szCs w:val="21"/>
                <w:lang w:val="en-US" w:eastAsia="zh-CN"/>
              </w:rPr>
              <w:t>图3-1  项目地与引用监测点位关系图</w:t>
            </w:r>
          </w:p>
          <w:p>
            <w:pPr>
              <w:spacing w:line="360" w:lineRule="auto"/>
              <w:textAlignment w:val="baseline"/>
              <w:rPr>
                <w:rFonts w:hint="default" w:ascii="Times New Roman" w:hAnsi="Times New Roman" w:eastAsia="宋体" w:cs="Times New Roman"/>
                <w:b/>
                <w:color w:val="auto"/>
                <w:spacing w:val="8"/>
                <w:sz w:val="24"/>
                <w:szCs w:val="24"/>
              </w:rPr>
            </w:pPr>
            <w:r>
              <w:rPr>
                <w:rFonts w:hint="default" w:ascii="Times New Roman" w:hAnsi="Times New Roman" w:eastAsia="宋体" w:cs="Times New Roman"/>
                <w:b/>
                <w:color w:val="auto"/>
                <w:spacing w:val="8"/>
                <w:sz w:val="24"/>
                <w:szCs w:val="24"/>
              </w:rPr>
              <w:t>2、地表水环境质量现状</w:t>
            </w:r>
          </w:p>
          <w:p>
            <w:pPr>
              <w:pStyle w:val="38"/>
              <w:snapToGrid w:val="0"/>
              <w:spacing w:before="0" w:beforeAutospacing="0" w:after="0" w:afterAutospacing="0" w:line="360" w:lineRule="auto"/>
              <w:ind w:firstLine="480" w:firstLineChars="200"/>
              <w:jc w:val="both"/>
              <w:rPr>
                <w:rFonts w:hint="default"/>
                <w:color w:val="auto"/>
              </w:rPr>
            </w:pPr>
            <w:r>
              <w:rPr>
                <w:rFonts w:hint="default" w:ascii="Times New Roman" w:hAnsi="Times New Roman" w:eastAsia="宋体" w:cs="Times New Roman"/>
                <w:color w:val="auto"/>
                <w:szCs w:val="20"/>
              </w:rPr>
              <w:t>项目生活污水经</w:t>
            </w:r>
            <w:r>
              <w:rPr>
                <w:rFonts w:hint="eastAsia" w:ascii="Times New Roman" w:hAnsi="Times New Roman" w:cs="Times New Roman"/>
                <w:color w:val="auto"/>
                <w:szCs w:val="20"/>
                <w:lang w:eastAsia="zh-CN"/>
              </w:rPr>
              <w:t>隔油池</w:t>
            </w:r>
            <w:r>
              <w:rPr>
                <w:rFonts w:hint="eastAsia" w:ascii="Times New Roman" w:hAnsi="Times New Roman" w:cs="Times New Roman"/>
                <w:color w:val="auto"/>
                <w:szCs w:val="20"/>
                <w:lang w:val="en-US" w:eastAsia="zh-CN"/>
              </w:rPr>
              <w:t>+</w:t>
            </w:r>
            <w:r>
              <w:rPr>
                <w:rFonts w:hint="default" w:ascii="Times New Roman" w:hAnsi="Times New Roman" w:eastAsia="宋体" w:cs="Times New Roman"/>
                <w:color w:val="auto"/>
                <w:szCs w:val="20"/>
              </w:rPr>
              <w:t>化粪池处理后</w:t>
            </w:r>
            <w:r>
              <w:rPr>
                <w:rFonts w:hint="eastAsia" w:ascii="Times New Roman" w:hAnsi="Times New Roman" w:cs="Times New Roman"/>
                <w:color w:val="auto"/>
                <w:szCs w:val="20"/>
                <w:lang w:eastAsia="zh-CN"/>
              </w:rPr>
              <w:t>通过生活区排口进园区污水管网入高新技术产业园区污水处理厂深度处理</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szCs w:val="24"/>
              </w:rPr>
              <w:t>根据</w:t>
            </w:r>
            <w:r>
              <w:rPr>
                <w:rFonts w:hint="eastAsia" w:ascii="Times New Roman" w:hAnsi="Times New Roman" w:cs="Times New Roman"/>
                <w:color w:val="auto"/>
                <w:szCs w:val="24"/>
                <w:lang w:eastAsia="zh-CN"/>
              </w:rPr>
              <w:t>宜春市</w:t>
            </w:r>
            <w:r>
              <w:rPr>
                <w:rFonts w:hint="default" w:ascii="Times New Roman" w:hAnsi="Times New Roman" w:eastAsia="宋体" w:cs="Times New Roman"/>
                <w:color w:val="auto"/>
                <w:szCs w:val="24"/>
              </w:rPr>
              <w:t>生态环境局</w:t>
            </w:r>
            <w:r>
              <w:rPr>
                <w:rFonts w:hint="eastAsia" w:ascii="Times New Roman" w:hAnsi="Times New Roman" w:cs="Times New Roman"/>
                <w:color w:val="auto"/>
                <w:szCs w:val="24"/>
                <w:lang w:eastAsia="zh-CN"/>
              </w:rPr>
              <w:t>发布</w:t>
            </w:r>
            <w:r>
              <w:rPr>
                <w:rFonts w:hint="default" w:ascii="Times New Roman" w:hAnsi="Times New Roman" w:eastAsia="宋体" w:cs="Times New Roman"/>
                <w:color w:val="auto"/>
                <w:szCs w:val="20"/>
              </w:rPr>
              <w:t>的《2023年</w:t>
            </w:r>
            <w:r>
              <w:rPr>
                <w:rFonts w:hint="eastAsia" w:ascii="Times New Roman" w:hAnsi="Times New Roman" w:cs="Times New Roman"/>
                <w:color w:val="auto"/>
                <w:szCs w:val="20"/>
                <w:lang w:val="en-US" w:eastAsia="zh-CN"/>
              </w:rPr>
              <w:t>宜春市环境质量月报（11月）</w:t>
            </w:r>
            <w:r>
              <w:rPr>
                <w:rFonts w:hint="default" w:ascii="Times New Roman" w:hAnsi="Times New Roman" w:eastAsia="宋体" w:cs="Times New Roman"/>
                <w:color w:val="auto"/>
                <w:szCs w:val="20"/>
              </w:rPr>
              <w:t>》，</w:t>
            </w:r>
            <w:r>
              <w:rPr>
                <w:rFonts w:hint="eastAsia" w:ascii="Times New Roman" w:hAnsi="Times New Roman" w:cs="Times New Roman"/>
                <w:color w:val="FF0000"/>
                <w:szCs w:val="20"/>
                <w:lang w:eastAsia="zh-CN"/>
              </w:rPr>
              <w:t>宜春市奉新县三洪村监测断面主要流域地表水</w:t>
            </w:r>
            <w:r>
              <w:rPr>
                <w:rFonts w:hint="default" w:ascii="Times New Roman" w:hAnsi="Times New Roman" w:eastAsia="宋体" w:cs="Times New Roman"/>
                <w:color w:val="FF0000"/>
                <w:szCs w:val="20"/>
              </w:rPr>
              <w:t>水质状况如下表所示</w:t>
            </w:r>
            <w:r>
              <w:rPr>
                <w:rFonts w:hint="eastAsia" w:ascii="Times New Roman" w:hAnsi="Times New Roman" w:cs="Times New Roman"/>
                <w:color w:val="FF0000"/>
                <w:szCs w:val="20"/>
                <w:lang w:eastAsia="zh-CN"/>
              </w:rPr>
              <w:t>。</w:t>
            </w:r>
          </w:p>
          <w:p>
            <w:pPr>
              <w:tabs>
                <w:tab w:val="left" w:pos="3822"/>
              </w:tabs>
              <w:adjustRightInd w:val="0"/>
              <w:snapToGrid w:val="0"/>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-4</w:t>
            </w:r>
            <w:r>
              <w:rPr>
                <w:rFonts w:hint="eastAsia" w:ascii="Times New Roman" w:hAnsi="Times New Roman" w:eastAsia="宋体" w:cs="Times New Roman"/>
                <w:b/>
                <w:bCs/>
                <w:color w:val="auto"/>
                <w:kern w:val="0"/>
                <w:szCs w:val="21"/>
                <w:lang w:eastAsia="zh-CN"/>
              </w:rPr>
              <w:t>南潦河</w:t>
            </w:r>
            <w:r>
              <w:rPr>
                <w:rFonts w:hint="default" w:ascii="Times New Roman" w:hAnsi="Times New Roman" w:eastAsia="宋体" w:cs="Times New Roman"/>
                <w:b/>
                <w:bCs/>
                <w:color w:val="auto"/>
                <w:kern w:val="0"/>
                <w:szCs w:val="21"/>
              </w:rPr>
              <w:t>断面水质状况</w:t>
            </w:r>
          </w:p>
          <w:tbl>
            <w:tblPr>
              <w:tblStyle w:val="57"/>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0"/>
              <w:gridCol w:w="2476"/>
              <w:gridCol w:w="1271"/>
              <w:gridCol w:w="1186"/>
              <w:gridCol w:w="1208"/>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trPr>
              <w:tc>
                <w:tcPr>
                  <w:tcW w:w="690" w:type="dxa"/>
                  <w:vMerge w:val="restart"/>
                  <w:tcMar>
                    <w:top w:w="0" w:type="dxa"/>
                    <w:left w:w="108" w:type="dxa"/>
                    <w:bottom w:w="0" w:type="dxa"/>
                    <w:right w:w="108" w:type="dxa"/>
                  </w:tcMar>
                  <w:vAlign w:val="center"/>
                </w:tcPr>
                <w:p>
                  <w:pPr>
                    <w:widowControl/>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2476" w:type="dxa"/>
                  <w:vMerge w:val="restart"/>
                  <w:tcMar>
                    <w:top w:w="0" w:type="dxa"/>
                    <w:left w:w="108" w:type="dxa"/>
                    <w:bottom w:w="0" w:type="dxa"/>
                    <w:right w:w="108" w:type="dxa"/>
                  </w:tcMar>
                  <w:vAlign w:val="center"/>
                </w:tcPr>
                <w:p>
                  <w:pPr>
                    <w:widowControl/>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监测断面</w:t>
                  </w:r>
                </w:p>
              </w:tc>
              <w:tc>
                <w:tcPr>
                  <w:tcW w:w="1271" w:type="dxa"/>
                  <w:vMerge w:val="restart"/>
                  <w:tcMar>
                    <w:top w:w="0" w:type="dxa"/>
                    <w:left w:w="108" w:type="dxa"/>
                    <w:bottom w:w="0" w:type="dxa"/>
                    <w:right w:w="108" w:type="dxa"/>
                  </w:tcMar>
                  <w:vAlign w:val="center"/>
                </w:tcPr>
                <w:p>
                  <w:pPr>
                    <w:widowControl/>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考核区县</w:t>
                  </w:r>
                </w:p>
              </w:tc>
              <w:tc>
                <w:tcPr>
                  <w:tcW w:w="2394" w:type="dxa"/>
                  <w:gridSpan w:val="2"/>
                  <w:tcMar>
                    <w:top w:w="0" w:type="dxa"/>
                    <w:left w:w="108" w:type="dxa"/>
                    <w:bottom w:w="0" w:type="dxa"/>
                    <w:right w:w="108" w:type="dxa"/>
                  </w:tcMar>
                  <w:vAlign w:val="center"/>
                </w:tcPr>
                <w:p>
                  <w:pPr>
                    <w:widowControl/>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水质类别</w:t>
                  </w:r>
                </w:p>
              </w:tc>
              <w:tc>
                <w:tcPr>
                  <w:tcW w:w="2267" w:type="dxa"/>
                  <w:vMerge w:val="restart"/>
                  <w:tcMar>
                    <w:top w:w="0" w:type="dxa"/>
                    <w:left w:w="108" w:type="dxa"/>
                    <w:bottom w:w="0" w:type="dxa"/>
                    <w:right w:w="108" w:type="dxa"/>
                  </w:tcMar>
                  <w:vAlign w:val="center"/>
                </w:tcPr>
                <w:p>
                  <w:pPr>
                    <w:widowControl/>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spacing w:val="-16"/>
                      <w:kern w:val="0"/>
                      <w:szCs w:val="21"/>
                    </w:rPr>
                    <w:t>超标指标及超标倍数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trPr>
              <w:tc>
                <w:tcPr>
                  <w:tcW w:w="690" w:type="dxa"/>
                  <w:vMerge w:val="continue"/>
                  <w:tcMar>
                    <w:top w:w="0" w:type="dxa"/>
                    <w:left w:w="108" w:type="dxa"/>
                    <w:bottom w:w="0" w:type="dxa"/>
                    <w:right w:w="108" w:type="dxa"/>
                  </w:tcMar>
                  <w:vAlign w:val="center"/>
                </w:tcPr>
                <w:p>
                  <w:pPr>
                    <w:widowControl/>
                    <w:jc w:val="center"/>
                    <w:rPr>
                      <w:rFonts w:hint="default" w:ascii="Times New Roman" w:hAnsi="Times New Roman" w:eastAsia="宋体" w:cs="Times New Roman"/>
                      <w:color w:val="auto"/>
                    </w:rPr>
                  </w:pPr>
                </w:p>
              </w:tc>
              <w:tc>
                <w:tcPr>
                  <w:tcW w:w="2476" w:type="dxa"/>
                  <w:vMerge w:val="continue"/>
                  <w:tcMar>
                    <w:top w:w="0" w:type="dxa"/>
                    <w:left w:w="108" w:type="dxa"/>
                    <w:bottom w:w="0" w:type="dxa"/>
                    <w:right w:w="108" w:type="dxa"/>
                  </w:tcMar>
                  <w:vAlign w:val="center"/>
                </w:tcPr>
                <w:p>
                  <w:pPr>
                    <w:widowControl/>
                    <w:jc w:val="center"/>
                    <w:rPr>
                      <w:rFonts w:hint="default" w:ascii="Times New Roman" w:hAnsi="Times New Roman" w:eastAsia="宋体" w:cs="Times New Roman"/>
                      <w:color w:val="auto"/>
                    </w:rPr>
                  </w:pPr>
                </w:p>
              </w:tc>
              <w:tc>
                <w:tcPr>
                  <w:tcW w:w="1271" w:type="dxa"/>
                  <w:vMerge w:val="continue"/>
                  <w:tcMar>
                    <w:top w:w="0" w:type="dxa"/>
                    <w:left w:w="108" w:type="dxa"/>
                    <w:bottom w:w="0" w:type="dxa"/>
                    <w:right w:w="108" w:type="dxa"/>
                  </w:tcMar>
                  <w:vAlign w:val="center"/>
                </w:tcPr>
                <w:p>
                  <w:pPr>
                    <w:widowControl/>
                    <w:jc w:val="center"/>
                    <w:rPr>
                      <w:rFonts w:hint="default" w:ascii="Times New Roman" w:hAnsi="Times New Roman" w:eastAsia="宋体" w:cs="Times New Roman"/>
                      <w:color w:val="auto"/>
                    </w:rPr>
                  </w:pPr>
                </w:p>
              </w:tc>
              <w:tc>
                <w:tcPr>
                  <w:tcW w:w="1186" w:type="dxa"/>
                  <w:tcMar>
                    <w:top w:w="0" w:type="dxa"/>
                    <w:left w:w="108" w:type="dxa"/>
                    <w:bottom w:w="0" w:type="dxa"/>
                    <w:right w:w="108" w:type="dxa"/>
                  </w:tcMar>
                  <w:vAlign w:val="center"/>
                </w:tcPr>
                <w:p>
                  <w:pPr>
                    <w:widowControl/>
                    <w:jc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执行类别</w:t>
                  </w:r>
                </w:p>
              </w:tc>
              <w:tc>
                <w:tcPr>
                  <w:tcW w:w="1208" w:type="dxa"/>
                  <w:tcMar>
                    <w:top w:w="0" w:type="dxa"/>
                    <w:left w:w="108" w:type="dxa"/>
                    <w:bottom w:w="0" w:type="dxa"/>
                    <w:right w:w="108" w:type="dxa"/>
                  </w:tcMar>
                  <w:vAlign w:val="center"/>
                </w:tcPr>
                <w:p>
                  <w:pPr>
                    <w:widowControl/>
                    <w:jc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水质类别</w:t>
                  </w:r>
                </w:p>
              </w:tc>
              <w:tc>
                <w:tcPr>
                  <w:tcW w:w="2267" w:type="dxa"/>
                  <w:vMerge w:val="continue"/>
                  <w:tcMar>
                    <w:top w:w="0" w:type="dxa"/>
                    <w:left w:w="108" w:type="dxa"/>
                    <w:bottom w:w="0" w:type="dxa"/>
                    <w:right w:w="108" w:type="dxa"/>
                  </w:tcMar>
                  <w:vAlign w:val="center"/>
                </w:tcPr>
                <w:p>
                  <w:pPr>
                    <w:widowControl/>
                    <w:jc w:val="center"/>
                    <w:rPr>
                      <w:rFonts w:hint="default" w:ascii="Times New Roman" w:hAnsi="Times New Roman" w:eastAsia="宋体" w:cs="Times New Roman"/>
                      <w:b/>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690" w:type="dxa"/>
                  <w:tcMar>
                    <w:top w:w="0" w:type="dxa"/>
                    <w:left w:w="108" w:type="dxa"/>
                    <w:bottom w:w="0" w:type="dxa"/>
                    <w:right w:w="108" w:type="dxa"/>
                  </w:tcMar>
                  <w:vAlign w:val="center"/>
                </w:tcPr>
                <w:p>
                  <w:pPr>
                    <w:widowControl/>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1</w:t>
                  </w:r>
                </w:p>
              </w:tc>
              <w:tc>
                <w:tcPr>
                  <w:tcW w:w="2476" w:type="dxa"/>
                  <w:tcMar>
                    <w:top w:w="0" w:type="dxa"/>
                    <w:left w:w="108" w:type="dxa"/>
                    <w:bottom w:w="0" w:type="dxa"/>
                    <w:right w:w="108" w:type="dxa"/>
                  </w:tcMar>
                  <w:vAlign w:val="center"/>
                </w:tcPr>
                <w:p>
                  <w:pPr>
                    <w:widowControl/>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三洪村（国家考核、市界）</w:t>
                  </w:r>
                </w:p>
              </w:tc>
              <w:tc>
                <w:tcPr>
                  <w:tcW w:w="1271" w:type="dxa"/>
                  <w:tcMar>
                    <w:top w:w="0" w:type="dxa"/>
                    <w:left w:w="108" w:type="dxa"/>
                    <w:bottom w:w="0" w:type="dxa"/>
                    <w:right w:w="108" w:type="dxa"/>
                  </w:tcMar>
                  <w:vAlign w:val="center"/>
                </w:tcPr>
                <w:p>
                  <w:pPr>
                    <w:widowControl/>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奉新县</w:t>
                  </w:r>
                </w:p>
              </w:tc>
              <w:tc>
                <w:tcPr>
                  <w:tcW w:w="1186" w:type="dxa"/>
                  <w:tcMar>
                    <w:top w:w="0" w:type="dxa"/>
                    <w:left w:w="108" w:type="dxa"/>
                    <w:bottom w:w="0" w:type="dxa"/>
                    <w:right w:w="108" w:type="dxa"/>
                  </w:tcMar>
                  <w:vAlign w:val="center"/>
                </w:tcPr>
                <w:p>
                  <w:pPr>
                    <w:widowControl/>
                    <w:jc w:val="center"/>
                    <w:textAlignment w:val="center"/>
                    <w:rPr>
                      <w:rFonts w:hint="default" w:ascii="Times New Roman" w:hAnsi="Times New Roman" w:eastAsia="宋体" w:cs="Times New Roman"/>
                      <w:color w:val="auto"/>
                      <w:kern w:val="0"/>
                      <w:szCs w:val="21"/>
                    </w:rPr>
                  </w:pPr>
                  <w:r>
                    <w:rPr>
                      <w:rFonts w:hint="eastAsia" w:ascii="宋体" w:hAnsi="宋体" w:eastAsia="宋体" w:cs="宋体"/>
                      <w:color w:val="auto"/>
                      <w:kern w:val="0"/>
                      <w:szCs w:val="21"/>
                    </w:rPr>
                    <w:t>Ⅲ</w:t>
                  </w:r>
                  <w:r>
                    <w:rPr>
                      <w:rFonts w:hint="default" w:ascii="Times New Roman" w:hAnsi="Times New Roman" w:eastAsia="宋体" w:cs="Times New Roman"/>
                      <w:color w:val="auto"/>
                      <w:kern w:val="0"/>
                      <w:szCs w:val="21"/>
                    </w:rPr>
                    <w:t>类</w:t>
                  </w:r>
                </w:p>
              </w:tc>
              <w:tc>
                <w:tcPr>
                  <w:tcW w:w="1208" w:type="dxa"/>
                  <w:tcMar>
                    <w:top w:w="0" w:type="dxa"/>
                    <w:left w:w="108" w:type="dxa"/>
                    <w:bottom w:w="0" w:type="dxa"/>
                    <w:right w:w="108" w:type="dxa"/>
                  </w:tcMar>
                  <w:vAlign w:val="center"/>
                </w:tcPr>
                <w:p>
                  <w:pPr>
                    <w:widowControl/>
                    <w:jc w:val="center"/>
                    <w:textAlignment w:val="center"/>
                    <w:rPr>
                      <w:rFonts w:hint="default" w:ascii="Times New Roman" w:hAnsi="Times New Roman" w:eastAsia="宋体" w:cs="Times New Roman"/>
                      <w:color w:val="auto"/>
                      <w:kern w:val="0"/>
                      <w:szCs w:val="21"/>
                    </w:rPr>
                  </w:pPr>
                  <w:r>
                    <w:rPr>
                      <w:rFonts w:hint="eastAsia" w:ascii="宋体" w:hAnsi="宋体" w:eastAsia="宋体" w:cs="宋体"/>
                      <w:color w:val="auto"/>
                      <w:kern w:val="0"/>
                      <w:szCs w:val="21"/>
                    </w:rPr>
                    <w:t>Ⅱ</w:t>
                  </w:r>
                  <w:r>
                    <w:rPr>
                      <w:rFonts w:hint="default" w:ascii="Times New Roman" w:hAnsi="Times New Roman" w:eastAsia="宋体" w:cs="Times New Roman"/>
                      <w:color w:val="auto"/>
                      <w:kern w:val="0"/>
                      <w:szCs w:val="21"/>
                    </w:rPr>
                    <w:t>类</w:t>
                  </w:r>
                </w:p>
              </w:tc>
              <w:tc>
                <w:tcPr>
                  <w:tcW w:w="2267" w:type="dxa"/>
                  <w:tcMar>
                    <w:top w:w="0" w:type="dxa"/>
                    <w:left w:w="108" w:type="dxa"/>
                    <w:bottom w:w="0" w:type="dxa"/>
                    <w:right w:w="108" w:type="dxa"/>
                  </w:tcMar>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r>
          </w:tbl>
          <w:p>
            <w:pPr>
              <w:pStyle w:val="602"/>
              <w:spacing w:before="120" w:beforeLines="50"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由此可见，项目所在区域地表水水质</w:t>
            </w:r>
            <w:r>
              <w:rPr>
                <w:rFonts w:hint="eastAsia" w:cs="Times New Roman"/>
                <w:color w:val="auto"/>
                <w:lang w:eastAsia="zh-CN"/>
              </w:rPr>
              <w:t>满足</w:t>
            </w:r>
            <w:r>
              <w:rPr>
                <w:rFonts w:hint="eastAsia" w:ascii="宋体" w:hAnsi="宋体" w:eastAsia="宋体" w:cs="宋体"/>
                <w:color w:val="auto"/>
                <w:lang w:eastAsia="zh-CN"/>
              </w:rPr>
              <w:t>Ⅲ</w:t>
            </w:r>
            <w:r>
              <w:rPr>
                <w:rFonts w:hint="eastAsia" w:cs="Times New Roman"/>
                <w:color w:val="auto"/>
                <w:lang w:eastAsia="zh-CN"/>
              </w:rPr>
              <w:t>类水体水质标准</w:t>
            </w:r>
            <w:r>
              <w:rPr>
                <w:rFonts w:hint="default" w:ascii="Times New Roman" w:hAnsi="Times New Roman" w:eastAsia="宋体" w:cs="Times New Roman"/>
                <w:color w:val="auto"/>
              </w:rPr>
              <w:t>。</w:t>
            </w:r>
          </w:p>
          <w:p>
            <w:pPr>
              <w:pStyle w:val="602"/>
              <w:spacing w:before="120" w:beforeLines="50" w:line="360" w:lineRule="auto"/>
              <w:ind w:left="0" w:leftChars="0" w:firstLine="0" w:firstLineChars="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3、声环境质量现状</w:t>
            </w:r>
          </w:p>
          <w:p>
            <w:pPr>
              <w:pStyle w:val="38"/>
              <w:snapToGrid w:val="0"/>
              <w:spacing w:before="0" w:beforeAutospacing="0" w:after="0" w:afterAutospacing="0" w:line="360" w:lineRule="auto"/>
              <w:ind w:firstLine="480" w:firstLineChars="200"/>
              <w:jc w:val="both"/>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eastAsia="zh-CN"/>
              </w:rPr>
              <w:t>根据现场踏勘，</w:t>
            </w:r>
            <w:r>
              <w:rPr>
                <w:rFonts w:hint="eastAsia" w:ascii="Times New Roman" w:hAnsi="Times New Roman" w:cs="Times New Roman"/>
                <w:color w:val="auto"/>
                <w:szCs w:val="24"/>
                <w:lang w:val="en-US" w:eastAsia="zh-CN"/>
              </w:rPr>
              <w:t>项目所在区域50m范围内无敏感点，根据《建设项目环境影响报告表编制技术指南（污染影响类）（试行）》相关要求，无需开展声环境质量现状监测。</w:t>
            </w:r>
          </w:p>
          <w:p>
            <w:pPr>
              <w:pStyle w:val="602"/>
              <w:spacing w:before="120" w:beforeLines="50" w:line="360" w:lineRule="auto"/>
              <w:ind w:firstLine="0" w:firstLineChars="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4、地下水、土壤环境质量现状</w:t>
            </w:r>
          </w:p>
          <w:p>
            <w:pPr>
              <w:spacing w:line="360" w:lineRule="auto"/>
              <w:ind w:firstLine="480" w:firstLineChars="200"/>
              <w:rPr>
                <w:rFonts w:hint="default" w:ascii="Times New Roman" w:hAnsi="Times New Roman" w:eastAsia="宋体" w:cs="Times New Roman"/>
                <w:color w:val="FF0000"/>
                <w:sz w:val="24"/>
                <w:szCs w:val="24"/>
              </w:rPr>
            </w:pPr>
            <w:r>
              <w:rPr>
                <w:rFonts w:hint="eastAsia"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val="en-US" w:eastAsia="zh-CN"/>
              </w:rPr>
              <w:t>建设项目环境影响报告表编制技术指南 污染影响类</w:t>
            </w:r>
            <w:r>
              <w:rPr>
                <w:rFonts w:hint="eastAsia" w:ascii="Times New Roman" w:hAnsi="Times New Roman" w:eastAsia="宋体" w:cs="Times New Roman"/>
                <w:color w:val="auto"/>
                <w:sz w:val="24"/>
                <w:szCs w:val="24"/>
                <w:lang w:eastAsia="zh-CN"/>
              </w:rPr>
              <w:t>》的通知，“原则上不开展环境质量现状调查。建设项目存在土壤、地下水环境污染途径的，应结合污染源、保护目标分布情况开展现状调查以留作背景值。”本项目进行氟石膏、天然石膏及石灰石破碎，粉磨生产活动，其一般工业固废按《一般工业固体废物贮存和填埋污染控制标准》（</w:t>
            </w:r>
            <w:r>
              <w:rPr>
                <w:rFonts w:hint="eastAsia" w:ascii="Times New Roman" w:hAnsi="Times New Roman" w:eastAsia="宋体" w:cs="Times New Roman"/>
                <w:color w:val="auto"/>
                <w:sz w:val="24"/>
                <w:szCs w:val="24"/>
                <w:lang w:val="en-US" w:eastAsia="zh-CN"/>
              </w:rPr>
              <w:t>GB18599-2020</w:t>
            </w:r>
            <w:r>
              <w:rPr>
                <w:rFonts w:hint="eastAsia" w:ascii="Times New Roman" w:hAnsi="Times New Roman" w:eastAsia="宋体" w:cs="Times New Roman"/>
                <w:color w:val="auto"/>
                <w:sz w:val="24"/>
                <w:szCs w:val="24"/>
                <w:lang w:eastAsia="zh-CN"/>
              </w:rPr>
              <w:t>）中的要求设置一般固体废物暂存间，进行防雨、防渗处理，防治乱堆乱放。化粪池、沉淀池、洗车池均按照设计要求进行防渗处理，避免污水渗入地下；厂区其他地面均进行水泥地面硬底化，对地下水、土壤环境影响较小。同时，项目简称运行期间不取用地下水，故不需开展地下水环境质量现状调查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56"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境</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保</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护</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目</w:t>
            </w:r>
          </w:p>
          <w:p>
            <w:pPr>
              <w:adjustRightInd w:val="0"/>
              <w:snapToGrid w:val="0"/>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auto"/>
                <w:kern w:val="0"/>
                <w:sz w:val="24"/>
                <w:szCs w:val="24"/>
              </w:rPr>
              <w:t>标</w:t>
            </w:r>
          </w:p>
        </w:tc>
        <w:tc>
          <w:tcPr>
            <w:tcW w:w="9441" w:type="dxa"/>
            <w:tcBorders>
              <w:top w:val="single" w:color="auto" w:sz="4" w:space="0"/>
              <w:left w:val="single" w:color="auto" w:sz="4" w:space="0"/>
              <w:bottom w:val="single" w:color="auto" w:sz="4" w:space="0"/>
              <w:right w:val="single" w:color="auto" w:sz="8" w:space="0"/>
            </w:tcBorders>
            <w:vAlign w:val="center"/>
          </w:tcPr>
          <w:p>
            <w:pPr>
              <w:adjustRightInd w:val="0"/>
              <w:spacing w:line="360" w:lineRule="auto"/>
              <w:ind w:firstLine="480" w:firstLineChars="200"/>
              <w:rPr>
                <w:rFonts w:hint="default" w:ascii="Times New Roman" w:hAnsi="Times New Roman" w:eastAsia="宋体" w:cs="Times New Roman"/>
                <w:b/>
                <w:bCs/>
                <w:color w:val="auto"/>
              </w:rPr>
            </w:pPr>
            <w:r>
              <w:rPr>
                <w:rFonts w:hint="default" w:ascii="Times New Roman" w:hAnsi="Times New Roman" w:eastAsia="宋体" w:cs="Times New Roman"/>
                <w:color w:val="auto"/>
                <w:kern w:val="24"/>
                <w:sz w:val="24"/>
                <w:szCs w:val="24"/>
              </w:rPr>
              <w:t>评价范围内无自然保护区、饮用水水源保护区、风景名胜区以及重要生态功能区等特殊环境敏感目标。项目主要环境保护目标见下表。</w:t>
            </w:r>
          </w:p>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表3-</w:t>
            </w:r>
            <w:r>
              <w:rPr>
                <w:rFonts w:hint="eastAsia" w:ascii="Times New Roman" w:hAnsi="Times New Roman" w:eastAsia="宋体" w:cs="Times New Roman"/>
                <w:b/>
                <w:bCs/>
                <w:color w:val="auto"/>
                <w:lang w:val="en-US" w:eastAsia="zh-CN"/>
              </w:rPr>
              <w:t xml:space="preserve">5 </w:t>
            </w:r>
            <w:r>
              <w:rPr>
                <w:rFonts w:hint="default" w:ascii="Times New Roman" w:hAnsi="Times New Roman" w:eastAsia="宋体" w:cs="Times New Roman"/>
                <w:b/>
                <w:bCs/>
                <w:color w:val="auto"/>
              </w:rPr>
              <w:t>环境保护目标一览表</w:t>
            </w:r>
          </w:p>
          <w:tbl>
            <w:tblPr>
              <w:tblStyle w:val="57"/>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667"/>
              <w:gridCol w:w="696"/>
              <w:gridCol w:w="2760"/>
              <w:gridCol w:w="1190"/>
              <w:gridCol w:w="951"/>
              <w:gridCol w:w="896"/>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restart"/>
                  <w:vAlign w:val="center"/>
                </w:tcPr>
                <w:p>
                  <w:pPr>
                    <w:jc w:val="center"/>
                    <w:textAlignment w:val="center"/>
                    <w:rPr>
                      <w:rFonts w:hint="default" w:ascii="Times New Roman" w:hAnsi="Times New Roman" w:eastAsia="宋体" w:cs="Times New Roman"/>
                      <w:b/>
                      <w:color w:val="auto"/>
                      <w:kern w:val="21"/>
                    </w:rPr>
                  </w:pPr>
                  <w:r>
                    <w:rPr>
                      <w:rFonts w:hint="default" w:ascii="Times New Roman" w:hAnsi="Times New Roman" w:eastAsia="宋体" w:cs="Times New Roman"/>
                      <w:b/>
                      <w:color w:val="auto"/>
                      <w:kern w:val="21"/>
                    </w:rPr>
                    <w:t>名称</w:t>
                  </w:r>
                </w:p>
              </w:tc>
              <w:tc>
                <w:tcPr>
                  <w:tcW w:w="1363" w:type="dxa"/>
                  <w:gridSpan w:val="2"/>
                  <w:vAlign w:val="center"/>
                </w:tcPr>
                <w:p>
                  <w:pPr>
                    <w:jc w:val="center"/>
                    <w:textAlignment w:val="center"/>
                    <w:rPr>
                      <w:rFonts w:hint="default" w:ascii="Times New Roman" w:hAnsi="Times New Roman" w:eastAsia="宋体" w:cs="Times New Roman"/>
                      <w:b/>
                      <w:color w:val="auto"/>
                      <w:kern w:val="21"/>
                    </w:rPr>
                  </w:pPr>
                  <w:r>
                    <w:rPr>
                      <w:rFonts w:hint="default" w:ascii="Times New Roman" w:hAnsi="Times New Roman" w:eastAsia="宋体" w:cs="Times New Roman"/>
                      <w:b/>
                      <w:color w:val="auto"/>
                      <w:kern w:val="21"/>
                    </w:rPr>
                    <w:t>坐标/m</w:t>
                  </w:r>
                </w:p>
              </w:tc>
              <w:tc>
                <w:tcPr>
                  <w:tcW w:w="2760" w:type="dxa"/>
                  <w:vMerge w:val="restart"/>
                  <w:vAlign w:val="center"/>
                </w:tcPr>
                <w:p>
                  <w:pPr>
                    <w:jc w:val="center"/>
                    <w:textAlignment w:val="center"/>
                    <w:rPr>
                      <w:rFonts w:hint="default" w:ascii="Times New Roman" w:hAnsi="Times New Roman" w:eastAsia="宋体" w:cs="Times New Roman"/>
                      <w:b/>
                      <w:color w:val="auto"/>
                      <w:kern w:val="21"/>
                    </w:rPr>
                  </w:pPr>
                  <w:r>
                    <w:rPr>
                      <w:rFonts w:hint="default" w:ascii="Times New Roman" w:hAnsi="Times New Roman" w:eastAsia="宋体" w:cs="Times New Roman"/>
                      <w:b/>
                      <w:color w:val="auto"/>
                      <w:kern w:val="21"/>
                    </w:rPr>
                    <w:t>保护对象</w:t>
                  </w:r>
                </w:p>
              </w:tc>
              <w:tc>
                <w:tcPr>
                  <w:tcW w:w="1190" w:type="dxa"/>
                  <w:vMerge w:val="restart"/>
                  <w:vAlign w:val="center"/>
                </w:tcPr>
                <w:p>
                  <w:pPr>
                    <w:jc w:val="center"/>
                    <w:textAlignment w:val="center"/>
                    <w:rPr>
                      <w:rFonts w:hint="default" w:ascii="Times New Roman" w:hAnsi="Times New Roman" w:eastAsia="宋体" w:cs="Times New Roman"/>
                      <w:b/>
                      <w:color w:val="auto"/>
                      <w:kern w:val="21"/>
                    </w:rPr>
                  </w:pPr>
                  <w:r>
                    <w:rPr>
                      <w:rFonts w:hint="default" w:ascii="Times New Roman" w:hAnsi="Times New Roman" w:eastAsia="宋体" w:cs="Times New Roman"/>
                      <w:b/>
                      <w:color w:val="auto"/>
                      <w:kern w:val="21"/>
                    </w:rPr>
                    <w:t>保护内容</w:t>
                  </w:r>
                </w:p>
              </w:tc>
              <w:tc>
                <w:tcPr>
                  <w:tcW w:w="951" w:type="dxa"/>
                  <w:vMerge w:val="restart"/>
                  <w:vAlign w:val="center"/>
                </w:tcPr>
                <w:p>
                  <w:pPr>
                    <w:jc w:val="center"/>
                    <w:textAlignment w:val="center"/>
                    <w:rPr>
                      <w:rFonts w:hint="default" w:ascii="Times New Roman" w:hAnsi="Times New Roman" w:eastAsia="宋体" w:cs="Times New Roman"/>
                      <w:b/>
                      <w:color w:val="auto"/>
                      <w:kern w:val="21"/>
                    </w:rPr>
                  </w:pPr>
                  <w:r>
                    <w:rPr>
                      <w:rFonts w:hint="default" w:ascii="Times New Roman" w:hAnsi="Times New Roman" w:eastAsia="宋体" w:cs="Times New Roman"/>
                      <w:b/>
                      <w:color w:val="auto"/>
                      <w:kern w:val="21"/>
                    </w:rPr>
                    <w:t>环境功能区</w:t>
                  </w:r>
                </w:p>
              </w:tc>
              <w:tc>
                <w:tcPr>
                  <w:tcW w:w="896" w:type="dxa"/>
                  <w:vMerge w:val="restart"/>
                  <w:vAlign w:val="center"/>
                </w:tcPr>
                <w:p>
                  <w:pPr>
                    <w:jc w:val="center"/>
                    <w:textAlignment w:val="center"/>
                    <w:rPr>
                      <w:rFonts w:hint="default" w:ascii="Times New Roman" w:hAnsi="Times New Roman" w:eastAsia="宋体" w:cs="Times New Roman"/>
                      <w:b/>
                      <w:color w:val="auto"/>
                      <w:kern w:val="21"/>
                    </w:rPr>
                  </w:pPr>
                  <w:r>
                    <w:rPr>
                      <w:rFonts w:hint="default" w:ascii="Times New Roman" w:hAnsi="Times New Roman" w:eastAsia="宋体" w:cs="Times New Roman"/>
                      <w:b/>
                      <w:color w:val="auto"/>
                      <w:kern w:val="21"/>
                    </w:rPr>
                    <w:t>相对厂址方位</w:t>
                  </w:r>
                </w:p>
              </w:tc>
              <w:tc>
                <w:tcPr>
                  <w:tcW w:w="975" w:type="dxa"/>
                  <w:vMerge w:val="restart"/>
                  <w:vAlign w:val="center"/>
                </w:tcPr>
                <w:p>
                  <w:pPr>
                    <w:jc w:val="center"/>
                    <w:textAlignment w:val="center"/>
                    <w:rPr>
                      <w:rFonts w:hint="default" w:ascii="Times New Roman" w:hAnsi="Times New Roman" w:eastAsia="宋体" w:cs="Times New Roman"/>
                      <w:color w:val="auto"/>
                      <w:kern w:val="21"/>
                    </w:rPr>
                  </w:pPr>
                  <w:r>
                    <w:rPr>
                      <w:rFonts w:hint="default" w:ascii="Times New Roman" w:hAnsi="Times New Roman" w:eastAsia="宋体" w:cs="Times New Roman"/>
                      <w:b/>
                      <w:bCs/>
                      <w:color w:val="auto"/>
                      <w:kern w:val="21"/>
                    </w:rPr>
                    <w:t>相对距离/m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pPr>
                    <w:widowControl/>
                    <w:jc w:val="left"/>
                    <w:rPr>
                      <w:rFonts w:hint="default" w:ascii="Times New Roman" w:hAnsi="Times New Roman" w:eastAsia="宋体" w:cs="Times New Roman"/>
                      <w:b/>
                      <w:color w:val="auto"/>
                      <w:kern w:val="21"/>
                      <w:szCs w:val="21"/>
                    </w:rPr>
                  </w:pPr>
                </w:p>
              </w:tc>
              <w:tc>
                <w:tcPr>
                  <w:tcW w:w="667" w:type="dxa"/>
                  <w:vAlign w:val="center"/>
                </w:tcPr>
                <w:p>
                  <w:pPr>
                    <w:jc w:val="center"/>
                    <w:textAlignment w:val="center"/>
                    <w:rPr>
                      <w:rFonts w:hint="default" w:ascii="Times New Roman" w:hAnsi="Times New Roman" w:eastAsia="宋体" w:cs="Times New Roman"/>
                      <w:b/>
                      <w:color w:val="auto"/>
                      <w:kern w:val="21"/>
                    </w:rPr>
                  </w:pPr>
                  <w:r>
                    <w:rPr>
                      <w:rFonts w:hint="default" w:ascii="Times New Roman" w:hAnsi="Times New Roman" w:eastAsia="宋体" w:cs="Times New Roman"/>
                      <w:b/>
                      <w:color w:val="auto"/>
                      <w:kern w:val="21"/>
                    </w:rPr>
                    <w:t>X</w:t>
                  </w:r>
                </w:p>
              </w:tc>
              <w:tc>
                <w:tcPr>
                  <w:tcW w:w="696" w:type="dxa"/>
                  <w:vAlign w:val="center"/>
                </w:tcPr>
                <w:p>
                  <w:pPr>
                    <w:jc w:val="center"/>
                    <w:textAlignment w:val="center"/>
                    <w:rPr>
                      <w:rFonts w:hint="default" w:ascii="Times New Roman" w:hAnsi="Times New Roman" w:eastAsia="宋体" w:cs="Times New Roman"/>
                      <w:b/>
                      <w:color w:val="auto"/>
                      <w:kern w:val="21"/>
                    </w:rPr>
                  </w:pPr>
                  <w:r>
                    <w:rPr>
                      <w:rFonts w:hint="default" w:ascii="Times New Roman" w:hAnsi="Times New Roman" w:eastAsia="宋体" w:cs="Times New Roman"/>
                      <w:b/>
                      <w:color w:val="auto"/>
                      <w:kern w:val="21"/>
                    </w:rPr>
                    <w:t>Y</w:t>
                  </w:r>
                </w:p>
              </w:tc>
              <w:tc>
                <w:tcPr>
                  <w:tcW w:w="2760" w:type="dxa"/>
                  <w:vMerge w:val="continue"/>
                  <w:vAlign w:val="center"/>
                </w:tcPr>
                <w:p>
                  <w:pPr>
                    <w:widowControl/>
                    <w:jc w:val="left"/>
                    <w:rPr>
                      <w:rFonts w:hint="default" w:ascii="Times New Roman" w:hAnsi="Times New Roman" w:eastAsia="宋体" w:cs="Times New Roman"/>
                      <w:b/>
                      <w:color w:val="auto"/>
                      <w:kern w:val="21"/>
                      <w:szCs w:val="21"/>
                    </w:rPr>
                  </w:pPr>
                </w:p>
              </w:tc>
              <w:tc>
                <w:tcPr>
                  <w:tcW w:w="1190" w:type="dxa"/>
                  <w:vMerge w:val="continue"/>
                  <w:vAlign w:val="center"/>
                </w:tcPr>
                <w:p>
                  <w:pPr>
                    <w:widowControl/>
                    <w:jc w:val="left"/>
                    <w:rPr>
                      <w:rFonts w:hint="default" w:ascii="Times New Roman" w:hAnsi="Times New Roman" w:eastAsia="宋体" w:cs="Times New Roman"/>
                      <w:b/>
                      <w:color w:val="auto"/>
                      <w:kern w:val="21"/>
                      <w:szCs w:val="21"/>
                    </w:rPr>
                  </w:pPr>
                </w:p>
              </w:tc>
              <w:tc>
                <w:tcPr>
                  <w:tcW w:w="951" w:type="dxa"/>
                  <w:vMerge w:val="continue"/>
                  <w:vAlign w:val="center"/>
                </w:tcPr>
                <w:p>
                  <w:pPr>
                    <w:widowControl/>
                    <w:jc w:val="left"/>
                    <w:rPr>
                      <w:rFonts w:hint="default" w:ascii="Times New Roman" w:hAnsi="Times New Roman" w:eastAsia="宋体" w:cs="Times New Roman"/>
                      <w:b/>
                      <w:color w:val="auto"/>
                      <w:kern w:val="21"/>
                      <w:szCs w:val="21"/>
                    </w:rPr>
                  </w:pPr>
                </w:p>
              </w:tc>
              <w:tc>
                <w:tcPr>
                  <w:tcW w:w="896" w:type="dxa"/>
                  <w:vMerge w:val="continue"/>
                  <w:vAlign w:val="center"/>
                </w:tcPr>
                <w:p>
                  <w:pPr>
                    <w:widowControl/>
                    <w:jc w:val="left"/>
                    <w:rPr>
                      <w:rFonts w:hint="default" w:ascii="Times New Roman" w:hAnsi="Times New Roman" w:eastAsia="宋体" w:cs="Times New Roman"/>
                      <w:b/>
                      <w:color w:val="auto"/>
                      <w:kern w:val="21"/>
                      <w:szCs w:val="21"/>
                    </w:rPr>
                  </w:pPr>
                </w:p>
              </w:tc>
              <w:tc>
                <w:tcPr>
                  <w:tcW w:w="975" w:type="dxa"/>
                  <w:vMerge w:val="continue"/>
                  <w:vAlign w:val="center"/>
                </w:tcPr>
                <w:p>
                  <w:pPr>
                    <w:widowControl/>
                    <w:jc w:val="left"/>
                    <w:rPr>
                      <w:rFonts w:hint="default" w:ascii="Times New Roman" w:hAnsi="Times New Roman" w:eastAsia="宋体" w:cs="Times New Roman"/>
                      <w:color w:val="auto"/>
                      <w:kern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22" w:type="dxa"/>
                  <w:vMerge w:val="continue"/>
                  <w:vAlign w:val="center"/>
                </w:tcPr>
                <w:p>
                  <w:pPr>
                    <w:jc w:val="center"/>
                    <w:textAlignment w:val="center"/>
                    <w:rPr>
                      <w:rFonts w:hint="default" w:ascii="Times New Roman" w:hAnsi="Times New Roman" w:eastAsia="宋体" w:cs="Times New Roman"/>
                      <w:color w:val="auto"/>
                      <w:kern w:val="21"/>
                    </w:rPr>
                  </w:pPr>
                </w:p>
              </w:tc>
              <w:tc>
                <w:tcPr>
                  <w:tcW w:w="667"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106</w:t>
                  </w:r>
                </w:p>
              </w:tc>
              <w:tc>
                <w:tcPr>
                  <w:tcW w:w="696"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138</w:t>
                  </w:r>
                </w:p>
              </w:tc>
              <w:tc>
                <w:tcPr>
                  <w:tcW w:w="2760" w:type="dxa"/>
                  <w:vAlign w:val="center"/>
                </w:tcPr>
                <w:p>
                  <w:pPr>
                    <w:jc w:val="center"/>
                    <w:textAlignment w:val="center"/>
                    <w:rPr>
                      <w:rFonts w:hint="default"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黄埇岗</w:t>
                  </w:r>
                </w:p>
              </w:tc>
              <w:tc>
                <w:tcPr>
                  <w:tcW w:w="1190"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eastAsia="zh-CN"/>
                    </w:rPr>
                    <w:t>约</w:t>
                  </w:r>
                  <w:r>
                    <w:rPr>
                      <w:rFonts w:hint="eastAsia" w:ascii="Times New Roman" w:hAnsi="Times New Roman" w:eastAsia="宋体" w:cs="Times New Roman"/>
                      <w:color w:val="auto"/>
                      <w:kern w:val="21"/>
                      <w:lang w:val="en-US" w:eastAsia="zh-CN"/>
                    </w:rPr>
                    <w:t>65人</w:t>
                  </w:r>
                </w:p>
              </w:tc>
              <w:tc>
                <w:tcPr>
                  <w:tcW w:w="951" w:type="dxa"/>
                  <w:vAlign w:val="center"/>
                </w:tcPr>
                <w:p>
                  <w:pPr>
                    <w:jc w:val="center"/>
                    <w:textAlignment w:val="center"/>
                    <w:rPr>
                      <w:rFonts w:hint="default" w:ascii="Times New Roman" w:hAnsi="Times New Roman" w:eastAsia="宋体" w:cs="Times New Roman"/>
                      <w:color w:val="auto"/>
                      <w:kern w:val="21"/>
                      <w:lang w:eastAsia="zh-CN"/>
                    </w:rPr>
                  </w:pPr>
                  <w:r>
                    <w:rPr>
                      <w:rFonts w:hint="default" w:ascii="Times New Roman" w:hAnsi="Times New Roman" w:eastAsia="宋体" w:cs="Times New Roman"/>
                      <w:color w:val="auto"/>
                      <w:kern w:val="21"/>
                      <w:lang w:eastAsia="zh-CN"/>
                    </w:rPr>
                    <w:t>二类区</w:t>
                  </w:r>
                </w:p>
              </w:tc>
              <w:tc>
                <w:tcPr>
                  <w:tcW w:w="896" w:type="dxa"/>
                  <w:vAlign w:val="center"/>
                </w:tcPr>
                <w:p>
                  <w:pPr>
                    <w:jc w:val="center"/>
                    <w:textAlignment w:val="center"/>
                    <w:rPr>
                      <w:rFonts w:hint="default"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东北</w:t>
                  </w:r>
                </w:p>
              </w:tc>
              <w:tc>
                <w:tcPr>
                  <w:tcW w:w="975"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22" w:type="dxa"/>
                  <w:vMerge w:val="continue"/>
                  <w:vAlign w:val="center"/>
                </w:tcPr>
                <w:p>
                  <w:pPr>
                    <w:jc w:val="center"/>
                    <w:textAlignment w:val="center"/>
                    <w:rPr>
                      <w:rFonts w:hint="default" w:ascii="Times New Roman" w:hAnsi="Times New Roman" w:eastAsia="宋体" w:cs="Times New Roman"/>
                      <w:color w:val="auto"/>
                      <w:kern w:val="21"/>
                    </w:rPr>
                  </w:pPr>
                </w:p>
              </w:tc>
              <w:tc>
                <w:tcPr>
                  <w:tcW w:w="667"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536</w:t>
                  </w:r>
                </w:p>
              </w:tc>
              <w:tc>
                <w:tcPr>
                  <w:tcW w:w="696"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146</w:t>
                  </w:r>
                </w:p>
              </w:tc>
              <w:tc>
                <w:tcPr>
                  <w:tcW w:w="2760" w:type="dxa"/>
                  <w:vAlign w:val="center"/>
                </w:tcPr>
                <w:p>
                  <w:pPr>
                    <w:jc w:val="center"/>
                    <w:textAlignment w:val="center"/>
                    <w:rPr>
                      <w:rFonts w:hint="eastAsia"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无名住宅</w:t>
                  </w:r>
                  <w:r>
                    <w:rPr>
                      <w:rFonts w:hint="eastAsia" w:ascii="Times New Roman" w:hAnsi="Times New Roman" w:eastAsia="宋体" w:cs="Times New Roman"/>
                      <w:color w:val="auto"/>
                      <w:kern w:val="21"/>
                      <w:lang w:val="en-US" w:eastAsia="zh-CN"/>
                    </w:rPr>
                    <w:t>1</w:t>
                  </w:r>
                </w:p>
              </w:tc>
              <w:tc>
                <w:tcPr>
                  <w:tcW w:w="1190"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eastAsia="zh-CN"/>
                    </w:rPr>
                    <w:t>约</w:t>
                  </w:r>
                  <w:r>
                    <w:rPr>
                      <w:rFonts w:hint="eastAsia" w:ascii="Times New Roman" w:hAnsi="Times New Roman" w:eastAsia="宋体" w:cs="Times New Roman"/>
                      <w:color w:val="auto"/>
                      <w:kern w:val="21"/>
                      <w:lang w:val="en-US" w:eastAsia="zh-CN"/>
                    </w:rPr>
                    <w:t>15人</w:t>
                  </w:r>
                </w:p>
              </w:tc>
              <w:tc>
                <w:tcPr>
                  <w:tcW w:w="951" w:type="dxa"/>
                  <w:vAlign w:val="center"/>
                </w:tcPr>
                <w:p>
                  <w:pPr>
                    <w:jc w:val="center"/>
                    <w:textAlignment w:val="center"/>
                    <w:rPr>
                      <w:rFonts w:hint="default"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二类区</w:t>
                  </w:r>
                </w:p>
              </w:tc>
              <w:tc>
                <w:tcPr>
                  <w:tcW w:w="896" w:type="dxa"/>
                  <w:vAlign w:val="center"/>
                </w:tcPr>
                <w:p>
                  <w:pPr>
                    <w:jc w:val="center"/>
                    <w:textAlignment w:val="center"/>
                    <w:rPr>
                      <w:rFonts w:hint="eastAsia"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东北</w:t>
                  </w:r>
                </w:p>
              </w:tc>
              <w:tc>
                <w:tcPr>
                  <w:tcW w:w="975"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22" w:type="dxa"/>
                  <w:vMerge w:val="continue"/>
                  <w:vAlign w:val="center"/>
                </w:tcPr>
                <w:p>
                  <w:pPr>
                    <w:jc w:val="center"/>
                    <w:textAlignment w:val="center"/>
                    <w:rPr>
                      <w:rFonts w:hint="default" w:ascii="Times New Roman" w:hAnsi="Times New Roman" w:eastAsia="宋体" w:cs="Times New Roman"/>
                      <w:color w:val="auto"/>
                      <w:kern w:val="21"/>
                    </w:rPr>
                  </w:pPr>
                </w:p>
              </w:tc>
              <w:tc>
                <w:tcPr>
                  <w:tcW w:w="667"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-104</w:t>
                  </w:r>
                </w:p>
              </w:tc>
              <w:tc>
                <w:tcPr>
                  <w:tcW w:w="696"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264</w:t>
                  </w:r>
                </w:p>
              </w:tc>
              <w:tc>
                <w:tcPr>
                  <w:tcW w:w="2760" w:type="dxa"/>
                  <w:vAlign w:val="center"/>
                </w:tcPr>
                <w:p>
                  <w:pPr>
                    <w:jc w:val="center"/>
                    <w:textAlignment w:val="center"/>
                    <w:rPr>
                      <w:rFonts w:hint="eastAsia"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无名住宅</w:t>
                  </w:r>
                  <w:r>
                    <w:rPr>
                      <w:rFonts w:hint="eastAsia" w:ascii="Times New Roman" w:hAnsi="Times New Roman" w:eastAsia="宋体" w:cs="Times New Roman"/>
                      <w:color w:val="auto"/>
                      <w:kern w:val="21"/>
                      <w:lang w:val="en-US" w:eastAsia="zh-CN"/>
                    </w:rPr>
                    <w:t>2</w:t>
                  </w:r>
                </w:p>
              </w:tc>
              <w:tc>
                <w:tcPr>
                  <w:tcW w:w="1190"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eastAsia="zh-CN"/>
                    </w:rPr>
                    <w:t>约</w:t>
                  </w:r>
                  <w:r>
                    <w:rPr>
                      <w:rFonts w:hint="eastAsia" w:ascii="Times New Roman" w:hAnsi="Times New Roman" w:eastAsia="宋体" w:cs="Times New Roman"/>
                      <w:color w:val="auto"/>
                      <w:kern w:val="21"/>
                      <w:lang w:val="en-US" w:eastAsia="zh-CN"/>
                    </w:rPr>
                    <w:t>20人</w:t>
                  </w:r>
                </w:p>
              </w:tc>
              <w:tc>
                <w:tcPr>
                  <w:tcW w:w="951" w:type="dxa"/>
                  <w:vAlign w:val="center"/>
                </w:tcPr>
                <w:p>
                  <w:pPr>
                    <w:jc w:val="center"/>
                    <w:textAlignment w:val="center"/>
                    <w:rPr>
                      <w:rFonts w:hint="default"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二类区</w:t>
                  </w:r>
                </w:p>
              </w:tc>
              <w:tc>
                <w:tcPr>
                  <w:tcW w:w="896" w:type="dxa"/>
                  <w:vAlign w:val="center"/>
                </w:tcPr>
                <w:p>
                  <w:pPr>
                    <w:jc w:val="center"/>
                    <w:textAlignment w:val="center"/>
                    <w:rPr>
                      <w:rFonts w:hint="eastAsia"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西北</w:t>
                  </w:r>
                </w:p>
              </w:tc>
              <w:tc>
                <w:tcPr>
                  <w:tcW w:w="975"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22" w:type="dxa"/>
                  <w:vMerge w:val="continue"/>
                  <w:vAlign w:val="center"/>
                </w:tcPr>
                <w:p>
                  <w:pPr>
                    <w:jc w:val="center"/>
                    <w:textAlignment w:val="center"/>
                    <w:rPr>
                      <w:rFonts w:hint="default" w:ascii="Times New Roman" w:hAnsi="Times New Roman" w:eastAsia="宋体" w:cs="Times New Roman"/>
                      <w:color w:val="auto"/>
                      <w:kern w:val="21"/>
                    </w:rPr>
                  </w:pPr>
                </w:p>
              </w:tc>
              <w:tc>
                <w:tcPr>
                  <w:tcW w:w="667"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-263</w:t>
                  </w:r>
                </w:p>
              </w:tc>
              <w:tc>
                <w:tcPr>
                  <w:tcW w:w="696"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412</w:t>
                  </w:r>
                </w:p>
              </w:tc>
              <w:tc>
                <w:tcPr>
                  <w:tcW w:w="2760"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eastAsia="zh-CN"/>
                    </w:rPr>
                    <w:t>无名住宅</w:t>
                  </w:r>
                  <w:r>
                    <w:rPr>
                      <w:rFonts w:hint="eastAsia" w:ascii="Times New Roman" w:hAnsi="Times New Roman" w:eastAsia="宋体" w:cs="Times New Roman"/>
                      <w:color w:val="auto"/>
                      <w:kern w:val="21"/>
                      <w:lang w:val="en-US" w:eastAsia="zh-CN"/>
                    </w:rPr>
                    <w:t>3</w:t>
                  </w:r>
                </w:p>
              </w:tc>
              <w:tc>
                <w:tcPr>
                  <w:tcW w:w="1190"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eastAsia="zh-CN"/>
                    </w:rPr>
                    <w:t>约</w:t>
                  </w:r>
                  <w:r>
                    <w:rPr>
                      <w:rFonts w:hint="eastAsia" w:ascii="Times New Roman" w:hAnsi="Times New Roman" w:eastAsia="宋体" w:cs="Times New Roman"/>
                      <w:color w:val="auto"/>
                      <w:kern w:val="21"/>
                      <w:lang w:val="en-US" w:eastAsia="zh-CN"/>
                    </w:rPr>
                    <w:t>40人</w:t>
                  </w:r>
                </w:p>
              </w:tc>
              <w:tc>
                <w:tcPr>
                  <w:tcW w:w="951" w:type="dxa"/>
                  <w:vAlign w:val="center"/>
                </w:tcPr>
                <w:p>
                  <w:pPr>
                    <w:jc w:val="center"/>
                    <w:textAlignment w:val="center"/>
                    <w:rPr>
                      <w:rFonts w:hint="default"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二类区</w:t>
                  </w:r>
                </w:p>
              </w:tc>
              <w:tc>
                <w:tcPr>
                  <w:tcW w:w="896" w:type="dxa"/>
                  <w:vAlign w:val="center"/>
                </w:tcPr>
                <w:p>
                  <w:pPr>
                    <w:jc w:val="center"/>
                    <w:textAlignment w:val="center"/>
                    <w:rPr>
                      <w:rFonts w:hint="eastAsia"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西北</w:t>
                  </w:r>
                </w:p>
              </w:tc>
              <w:tc>
                <w:tcPr>
                  <w:tcW w:w="975"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22" w:type="dxa"/>
                  <w:vMerge w:val="restart"/>
                  <w:vAlign w:val="center"/>
                </w:tcPr>
                <w:p>
                  <w:pPr>
                    <w:jc w:val="center"/>
                    <w:textAlignment w:val="center"/>
                    <w:rPr>
                      <w:rFonts w:hint="default" w:ascii="Times New Roman" w:hAnsi="Times New Roman" w:eastAsia="宋体" w:cs="Times New Roman"/>
                      <w:color w:val="auto"/>
                      <w:kern w:val="21"/>
                    </w:rPr>
                  </w:pPr>
                  <w:r>
                    <w:rPr>
                      <w:rFonts w:hint="default" w:ascii="Times New Roman" w:hAnsi="Times New Roman" w:eastAsia="宋体" w:cs="Times New Roman"/>
                      <w:color w:val="auto"/>
                      <w:kern w:val="21"/>
                    </w:rPr>
                    <w:t>地表水环境</w:t>
                  </w:r>
                </w:p>
              </w:tc>
              <w:tc>
                <w:tcPr>
                  <w:tcW w:w="4123" w:type="dxa"/>
                  <w:gridSpan w:val="3"/>
                  <w:vAlign w:val="center"/>
                </w:tcPr>
                <w:p>
                  <w:pPr>
                    <w:jc w:val="center"/>
                    <w:textAlignment w:val="center"/>
                    <w:rPr>
                      <w:rFonts w:hint="eastAsia"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南潦河</w:t>
                  </w:r>
                </w:p>
              </w:tc>
              <w:tc>
                <w:tcPr>
                  <w:tcW w:w="1190" w:type="dxa"/>
                  <w:vAlign w:val="center"/>
                </w:tcPr>
                <w:p>
                  <w:pPr>
                    <w:jc w:val="center"/>
                    <w:textAlignment w:val="center"/>
                    <w:rPr>
                      <w:rFonts w:hint="default" w:ascii="Times New Roman" w:hAnsi="Times New Roman" w:eastAsia="宋体" w:cs="Times New Roman"/>
                      <w:color w:val="auto"/>
                      <w:kern w:val="21"/>
                    </w:rPr>
                  </w:pPr>
                  <w:r>
                    <w:rPr>
                      <w:rFonts w:hint="default" w:ascii="Times New Roman" w:hAnsi="Times New Roman" w:eastAsia="宋体" w:cs="Times New Roman"/>
                      <w:color w:val="auto"/>
                      <w:kern w:val="21"/>
                    </w:rPr>
                    <w:t>水质，大河</w:t>
                  </w:r>
                </w:p>
              </w:tc>
              <w:tc>
                <w:tcPr>
                  <w:tcW w:w="951" w:type="dxa"/>
                  <w:vAlign w:val="center"/>
                </w:tcPr>
                <w:p>
                  <w:pPr>
                    <w:jc w:val="center"/>
                    <w:textAlignment w:val="center"/>
                    <w:rPr>
                      <w:rFonts w:hint="default" w:ascii="Times New Roman" w:hAnsi="Times New Roman" w:eastAsia="宋体" w:cs="Times New Roman"/>
                      <w:color w:val="auto"/>
                      <w:kern w:val="21"/>
                    </w:rPr>
                  </w:pPr>
                  <w:r>
                    <w:rPr>
                      <w:rFonts w:hint="default" w:ascii="Times New Roman" w:hAnsi="Times New Roman" w:eastAsia="宋体" w:cs="Times New Roman"/>
                      <w:color w:val="auto"/>
                      <w:kern w:val="21"/>
                    </w:rPr>
                    <w:t>Ⅲ类</w:t>
                  </w:r>
                </w:p>
              </w:tc>
              <w:tc>
                <w:tcPr>
                  <w:tcW w:w="896" w:type="dxa"/>
                  <w:vAlign w:val="center"/>
                </w:tcPr>
                <w:p>
                  <w:pPr>
                    <w:jc w:val="center"/>
                    <w:textAlignment w:val="center"/>
                    <w:rPr>
                      <w:rFonts w:hint="default"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西</w:t>
                  </w:r>
                </w:p>
              </w:tc>
              <w:tc>
                <w:tcPr>
                  <w:tcW w:w="975"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3967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22" w:type="dxa"/>
                  <w:vMerge w:val="continue"/>
                  <w:vAlign w:val="center"/>
                </w:tcPr>
                <w:p>
                  <w:pPr>
                    <w:jc w:val="center"/>
                    <w:textAlignment w:val="center"/>
                    <w:rPr>
                      <w:rFonts w:hint="default" w:ascii="Times New Roman" w:hAnsi="Times New Roman" w:eastAsia="宋体" w:cs="Times New Roman"/>
                      <w:color w:val="auto"/>
                      <w:kern w:val="21"/>
                    </w:rPr>
                  </w:pPr>
                </w:p>
              </w:tc>
              <w:tc>
                <w:tcPr>
                  <w:tcW w:w="4123" w:type="dxa"/>
                  <w:gridSpan w:val="3"/>
                  <w:vAlign w:val="center"/>
                </w:tcPr>
                <w:p>
                  <w:pPr>
                    <w:jc w:val="center"/>
                    <w:textAlignment w:val="center"/>
                    <w:rPr>
                      <w:rFonts w:hint="eastAsia" w:ascii="Times New Roman" w:hAnsi="Times New Roman" w:eastAsia="宋体" w:cs="Times New Roman"/>
                      <w:color w:val="FF0000"/>
                      <w:kern w:val="21"/>
                      <w:lang w:eastAsia="zh-CN"/>
                    </w:rPr>
                  </w:pPr>
                  <w:r>
                    <w:rPr>
                      <w:rFonts w:hint="eastAsia" w:ascii="Times New Roman" w:hAnsi="Times New Roman" w:eastAsia="宋体" w:cs="Times New Roman"/>
                      <w:color w:val="FF0000"/>
                      <w:kern w:val="21"/>
                      <w:lang w:eastAsia="zh-CN"/>
                    </w:rPr>
                    <w:t>感古垅水库（养鱼塘及农田灌溉水源）</w:t>
                  </w:r>
                </w:p>
              </w:tc>
              <w:tc>
                <w:tcPr>
                  <w:tcW w:w="1190" w:type="dxa"/>
                  <w:vAlign w:val="center"/>
                </w:tcPr>
                <w:p>
                  <w:pPr>
                    <w:jc w:val="center"/>
                    <w:textAlignment w:val="center"/>
                    <w:rPr>
                      <w:rFonts w:hint="eastAsia" w:ascii="Times New Roman" w:hAnsi="Times New Roman" w:eastAsia="宋体" w:cs="Times New Roman"/>
                      <w:color w:val="FF0000"/>
                      <w:kern w:val="21"/>
                      <w:lang w:eastAsia="zh-CN"/>
                    </w:rPr>
                  </w:pPr>
                  <w:r>
                    <w:rPr>
                      <w:rFonts w:hint="eastAsia" w:ascii="Times New Roman" w:hAnsi="Times New Roman" w:eastAsia="宋体" w:cs="Times New Roman"/>
                      <w:color w:val="FF0000"/>
                      <w:kern w:val="21"/>
                      <w:lang w:eastAsia="zh-CN"/>
                    </w:rPr>
                    <w:t>水塘</w:t>
                  </w:r>
                </w:p>
              </w:tc>
              <w:tc>
                <w:tcPr>
                  <w:tcW w:w="951" w:type="dxa"/>
                  <w:vAlign w:val="center"/>
                </w:tcPr>
                <w:p>
                  <w:pPr>
                    <w:jc w:val="center"/>
                    <w:textAlignment w:val="center"/>
                    <w:rPr>
                      <w:rFonts w:hint="default" w:ascii="Times New Roman" w:hAnsi="Times New Roman" w:eastAsia="宋体" w:cs="Times New Roman"/>
                      <w:color w:val="auto"/>
                      <w:kern w:val="21"/>
                    </w:rPr>
                  </w:pPr>
                  <w:r>
                    <w:rPr>
                      <w:rFonts w:hint="default" w:ascii="Times New Roman" w:hAnsi="Times New Roman" w:eastAsia="宋体" w:cs="Times New Roman"/>
                      <w:color w:val="auto"/>
                      <w:kern w:val="21"/>
                    </w:rPr>
                    <w:t>Ⅲ类</w:t>
                  </w:r>
                </w:p>
              </w:tc>
              <w:tc>
                <w:tcPr>
                  <w:tcW w:w="896" w:type="dxa"/>
                  <w:vAlign w:val="center"/>
                </w:tcPr>
                <w:p>
                  <w:pPr>
                    <w:jc w:val="center"/>
                    <w:textAlignment w:val="center"/>
                    <w:rPr>
                      <w:rFonts w:hint="eastAsia"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北</w:t>
                  </w:r>
                </w:p>
              </w:tc>
              <w:tc>
                <w:tcPr>
                  <w:tcW w:w="975"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22" w:type="dxa"/>
                  <w:vMerge w:val="continue"/>
                  <w:vAlign w:val="center"/>
                </w:tcPr>
                <w:p>
                  <w:pPr>
                    <w:jc w:val="center"/>
                    <w:textAlignment w:val="center"/>
                    <w:rPr>
                      <w:rFonts w:hint="default" w:ascii="Times New Roman" w:hAnsi="Times New Roman" w:eastAsia="宋体" w:cs="Times New Roman"/>
                      <w:color w:val="auto"/>
                      <w:kern w:val="21"/>
                    </w:rPr>
                  </w:pPr>
                </w:p>
              </w:tc>
              <w:tc>
                <w:tcPr>
                  <w:tcW w:w="4123" w:type="dxa"/>
                  <w:gridSpan w:val="3"/>
                  <w:vAlign w:val="center"/>
                </w:tcPr>
                <w:p>
                  <w:pPr>
                    <w:jc w:val="center"/>
                    <w:textAlignment w:val="center"/>
                    <w:rPr>
                      <w:rFonts w:hint="eastAsia" w:ascii="Times New Roman" w:hAnsi="Times New Roman" w:eastAsia="宋体" w:cs="Times New Roman"/>
                      <w:color w:val="FF0000"/>
                      <w:kern w:val="21"/>
                      <w:lang w:eastAsia="zh-CN"/>
                    </w:rPr>
                  </w:pPr>
                  <w:r>
                    <w:rPr>
                      <w:rFonts w:hint="eastAsia" w:ascii="Times New Roman" w:hAnsi="Times New Roman" w:eastAsia="宋体" w:cs="Times New Roman"/>
                      <w:color w:val="FF0000"/>
                      <w:kern w:val="21"/>
                      <w:lang w:eastAsia="zh-CN"/>
                    </w:rPr>
                    <w:t>十里水库（养鱼塘及农田灌溉水源）</w:t>
                  </w:r>
                </w:p>
              </w:tc>
              <w:tc>
                <w:tcPr>
                  <w:tcW w:w="1190" w:type="dxa"/>
                  <w:vAlign w:val="center"/>
                </w:tcPr>
                <w:p>
                  <w:pPr>
                    <w:jc w:val="center"/>
                    <w:textAlignment w:val="center"/>
                    <w:rPr>
                      <w:rFonts w:hint="eastAsia" w:ascii="Times New Roman" w:hAnsi="Times New Roman" w:eastAsia="宋体" w:cs="Times New Roman"/>
                      <w:color w:val="FF0000"/>
                      <w:kern w:val="21"/>
                      <w:lang w:eastAsia="zh-CN"/>
                    </w:rPr>
                  </w:pPr>
                  <w:r>
                    <w:rPr>
                      <w:rFonts w:hint="eastAsia" w:ascii="Times New Roman" w:hAnsi="Times New Roman" w:eastAsia="宋体" w:cs="Times New Roman"/>
                      <w:color w:val="FF0000"/>
                      <w:kern w:val="21"/>
                      <w:lang w:eastAsia="zh-CN"/>
                    </w:rPr>
                    <w:t>水塘</w:t>
                  </w:r>
                </w:p>
              </w:tc>
              <w:tc>
                <w:tcPr>
                  <w:tcW w:w="951" w:type="dxa"/>
                  <w:vAlign w:val="center"/>
                </w:tcPr>
                <w:p>
                  <w:pPr>
                    <w:jc w:val="center"/>
                    <w:textAlignment w:val="center"/>
                    <w:rPr>
                      <w:rFonts w:hint="default" w:ascii="Times New Roman" w:hAnsi="Times New Roman" w:eastAsia="宋体" w:cs="Times New Roman"/>
                      <w:color w:val="auto"/>
                      <w:kern w:val="21"/>
                    </w:rPr>
                  </w:pPr>
                  <w:r>
                    <w:rPr>
                      <w:rFonts w:hint="default" w:ascii="Times New Roman" w:hAnsi="Times New Roman" w:eastAsia="宋体" w:cs="Times New Roman"/>
                      <w:color w:val="auto"/>
                      <w:kern w:val="21"/>
                    </w:rPr>
                    <w:t>Ⅲ类</w:t>
                  </w:r>
                </w:p>
              </w:tc>
              <w:tc>
                <w:tcPr>
                  <w:tcW w:w="896" w:type="dxa"/>
                  <w:vAlign w:val="center"/>
                </w:tcPr>
                <w:p>
                  <w:pPr>
                    <w:jc w:val="center"/>
                    <w:textAlignment w:val="center"/>
                    <w:rPr>
                      <w:rFonts w:hint="eastAsia"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西</w:t>
                  </w:r>
                </w:p>
              </w:tc>
              <w:tc>
                <w:tcPr>
                  <w:tcW w:w="975" w:type="dxa"/>
                  <w:vAlign w:val="center"/>
                </w:tcPr>
                <w:p>
                  <w:pPr>
                    <w:jc w:val="center"/>
                    <w:textAlignment w:val="center"/>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22" w:type="dxa"/>
                  <w:vAlign w:val="center"/>
                </w:tcPr>
                <w:p>
                  <w:pPr>
                    <w:jc w:val="center"/>
                    <w:textAlignment w:val="center"/>
                    <w:rPr>
                      <w:rFonts w:hint="default" w:ascii="Times New Roman" w:hAnsi="Times New Roman" w:eastAsia="宋体" w:cs="Times New Roman"/>
                      <w:color w:val="auto"/>
                      <w:kern w:val="21"/>
                    </w:rPr>
                  </w:pPr>
                  <w:r>
                    <w:rPr>
                      <w:rFonts w:hint="default" w:ascii="Times New Roman" w:hAnsi="Times New Roman" w:eastAsia="宋体" w:cs="Times New Roman"/>
                      <w:color w:val="auto"/>
                      <w:kern w:val="21"/>
                    </w:rPr>
                    <w:t>声环境</w:t>
                  </w:r>
                </w:p>
              </w:tc>
              <w:tc>
                <w:tcPr>
                  <w:tcW w:w="5313" w:type="dxa"/>
                  <w:gridSpan w:val="4"/>
                  <w:vAlign w:val="center"/>
                </w:tcPr>
                <w:p>
                  <w:pPr>
                    <w:pStyle w:val="31"/>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eastAsia="zh-CN"/>
                    </w:rPr>
                    <w:t>厂界外</w:t>
                  </w:r>
                  <w:r>
                    <w:rPr>
                      <w:rFonts w:hint="eastAsia" w:ascii="Times New Roman" w:hAnsi="Times New Roman" w:cs="Times New Roman"/>
                      <w:color w:val="auto"/>
                      <w:lang w:val="en-US" w:eastAsia="zh-CN"/>
                    </w:rPr>
                    <w:t>50m范围内无声环境保护目标</w:t>
                  </w:r>
                </w:p>
              </w:tc>
              <w:tc>
                <w:tcPr>
                  <w:tcW w:w="2822" w:type="dxa"/>
                  <w:gridSpan w:val="3"/>
                  <w:vAlign w:val="center"/>
                </w:tcPr>
                <w:p>
                  <w:pPr>
                    <w:pStyle w:val="31"/>
                    <w:jc w:val="center"/>
                    <w:rPr>
                      <w:rFonts w:hint="eastAsia" w:ascii="Times New Roman" w:hAnsi="Times New Roman" w:eastAsia="宋体" w:cs="Times New Roman"/>
                      <w:color w:val="auto"/>
                      <w:lang w:eastAsia="zh-CN"/>
                    </w:rPr>
                  </w:pPr>
                  <w:r>
                    <w:rPr>
                      <w:rFonts w:hint="eastAsia"/>
                      <w:b w:val="0"/>
                      <w:bCs/>
                      <w:color w:val="auto"/>
                      <w:kern w:val="0"/>
                      <w:sz w:val="21"/>
                      <w:szCs w:val="21"/>
                      <w:highlight w:val="none"/>
                      <w:lang w:eastAsia="zh-CN"/>
                    </w:rPr>
                    <w:t>（</w:t>
                  </w:r>
                  <w:r>
                    <w:rPr>
                      <w:rFonts w:hint="eastAsia"/>
                      <w:b w:val="0"/>
                      <w:bCs/>
                      <w:color w:val="auto"/>
                      <w:kern w:val="0"/>
                      <w:sz w:val="21"/>
                      <w:szCs w:val="21"/>
                      <w:highlight w:val="none"/>
                    </w:rPr>
                    <w:t>GB309</w:t>
                  </w:r>
                  <w:r>
                    <w:rPr>
                      <w:rFonts w:hint="eastAsia"/>
                      <w:b w:val="0"/>
                      <w:bCs/>
                      <w:color w:val="auto"/>
                      <w:kern w:val="0"/>
                      <w:sz w:val="21"/>
                      <w:szCs w:val="21"/>
                      <w:highlight w:val="none"/>
                      <w:lang w:val="en-US" w:eastAsia="zh-CN"/>
                    </w:rPr>
                    <w:t>6</w:t>
                  </w:r>
                  <w:r>
                    <w:rPr>
                      <w:rFonts w:hint="eastAsia"/>
                      <w:b w:val="0"/>
                      <w:bCs/>
                      <w:color w:val="auto"/>
                      <w:kern w:val="0"/>
                      <w:sz w:val="21"/>
                      <w:szCs w:val="21"/>
                      <w:highlight w:val="none"/>
                    </w:rPr>
                    <w:t>-20</w:t>
                  </w:r>
                  <w:r>
                    <w:rPr>
                      <w:rFonts w:hint="eastAsia"/>
                      <w:b w:val="0"/>
                      <w:bCs/>
                      <w:color w:val="auto"/>
                      <w:kern w:val="0"/>
                      <w:sz w:val="21"/>
                      <w:szCs w:val="21"/>
                      <w:highlight w:val="none"/>
                      <w:lang w:val="en-US" w:eastAsia="zh-CN"/>
                    </w:rPr>
                    <w:t>08</w:t>
                  </w:r>
                  <w:r>
                    <w:rPr>
                      <w:rFonts w:hint="eastAsia"/>
                      <w:b w:val="0"/>
                      <w:bCs/>
                      <w:color w:val="auto"/>
                      <w:kern w:val="0"/>
                      <w:sz w:val="21"/>
                      <w:szCs w:val="21"/>
                      <w:highlight w:val="none"/>
                      <w:lang w:eastAsia="zh-CN"/>
                    </w:rPr>
                    <w:t>）中</w:t>
                  </w:r>
                  <w:r>
                    <w:rPr>
                      <w:rFonts w:hint="eastAsia"/>
                      <w:b w:val="0"/>
                      <w:bCs/>
                      <w:color w:val="auto"/>
                      <w:kern w:val="0"/>
                      <w:sz w:val="21"/>
                      <w:szCs w:val="21"/>
                      <w:highlight w:val="none"/>
                      <w:lang w:val="en-US" w:eastAsia="zh-CN"/>
                    </w:rPr>
                    <w:t>3类</w:t>
                  </w:r>
                  <w:r>
                    <w:rPr>
                      <w:rFonts w:hint="eastAsia"/>
                      <w:b w:val="0"/>
                      <w:bCs/>
                      <w:color w:val="auto"/>
                      <w:kern w:val="0"/>
                      <w:sz w:val="21"/>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22" w:type="dxa"/>
                  <w:vAlign w:val="center"/>
                </w:tcPr>
                <w:p>
                  <w:pPr>
                    <w:jc w:val="center"/>
                    <w:textAlignment w:val="center"/>
                    <w:rPr>
                      <w:rFonts w:hint="eastAsia"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地下水环境</w:t>
                  </w:r>
                </w:p>
              </w:tc>
              <w:tc>
                <w:tcPr>
                  <w:tcW w:w="8135" w:type="dxa"/>
                  <w:gridSpan w:val="7"/>
                  <w:vAlign w:val="center"/>
                </w:tcPr>
                <w:p>
                  <w:pPr>
                    <w:pStyle w:val="31"/>
                    <w:jc w:val="center"/>
                    <w:rPr>
                      <w:rFonts w:hint="eastAsia"/>
                      <w:b w:val="0"/>
                      <w:bCs/>
                      <w:color w:val="auto"/>
                      <w:kern w:val="0"/>
                      <w:sz w:val="21"/>
                      <w:szCs w:val="21"/>
                      <w:highlight w:val="none"/>
                      <w:lang w:eastAsia="zh-CN"/>
                    </w:rPr>
                  </w:pPr>
                  <w:r>
                    <w:rPr>
                      <w:color w:val="auto"/>
                      <w:kern w:val="0"/>
                      <w:sz w:val="21"/>
                      <w:szCs w:val="21"/>
                      <w:highlight w:val="none"/>
                    </w:rPr>
                    <w:t>厂界</w:t>
                  </w:r>
                  <w:r>
                    <w:rPr>
                      <w:rFonts w:hint="eastAsia"/>
                      <w:color w:val="auto"/>
                      <w:kern w:val="0"/>
                      <w:sz w:val="21"/>
                      <w:szCs w:val="21"/>
                      <w:highlight w:val="none"/>
                    </w:rPr>
                    <w:t>外</w:t>
                  </w:r>
                  <w:r>
                    <w:rPr>
                      <w:color w:val="auto"/>
                      <w:kern w:val="0"/>
                      <w:sz w:val="21"/>
                      <w:szCs w:val="21"/>
                      <w:highlight w:val="none"/>
                    </w:rPr>
                    <w:t>500m范围内无地下水集中式饮用水源和热水、矿泉水、温泉等特殊地下水资源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7" w:type="dxa"/>
                  <w:gridSpan w:val="8"/>
                  <w:vAlign w:val="center"/>
                </w:tcPr>
                <w:p>
                  <w:pP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注：本次评价以厂房中心E</w:t>
                  </w:r>
                  <w:r>
                    <w:rPr>
                      <w:rFonts w:hint="default" w:ascii="Times New Roman" w:hAnsi="Times New Roman" w:eastAsia="宋体" w:cs="Times New Roman"/>
                      <w:color w:val="auto"/>
                      <w:lang w:val="en-US" w:eastAsia="zh-CN"/>
                    </w:rPr>
                    <w:t>115°</w:t>
                  </w:r>
                  <w:r>
                    <w:rPr>
                      <w:rFonts w:hint="eastAsia" w:ascii="Times New Roman" w:hAnsi="Times New Roman" w:eastAsia="宋体" w:cs="Times New Roman"/>
                      <w:color w:val="auto"/>
                      <w:lang w:val="en-US" w:eastAsia="zh-CN"/>
                    </w:rPr>
                    <w:t>26</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5.048</w:t>
                  </w:r>
                  <w:r>
                    <w:rPr>
                      <w:rFonts w:hint="default" w:ascii="Times New Roman" w:hAnsi="Times New Roman" w:eastAsia="宋体" w:cs="Times New Roman"/>
                      <w:color w:val="auto"/>
                      <w:lang w:val="en-US" w:eastAsia="zh-CN"/>
                    </w:rPr>
                    <w:t>″，N28°</w:t>
                  </w:r>
                  <w:r>
                    <w:rPr>
                      <w:rFonts w:hint="eastAsia" w:ascii="Times New Roman" w:hAnsi="Times New Roman" w:eastAsia="宋体" w:cs="Times New Roman"/>
                      <w:color w:val="auto"/>
                      <w:lang w:val="en-US" w:eastAsia="zh-CN"/>
                    </w:rPr>
                    <w:t>40</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32.749</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为原点坐标（0，0），正东X轴为正方向，正北Y轴为正方向建立直角坐标系。</w:t>
                  </w:r>
                </w:p>
              </w:tc>
            </w:tr>
          </w:tbl>
          <w:p>
            <w:pPr>
              <w:pStyle w:val="2"/>
              <w:jc w:val="both"/>
              <w:rPr>
                <w:rFonts w:hint="default" w:ascii="Times New Roman" w:hAnsi="Times New Roman" w:eastAsia="宋体" w:cs="Times New Roman"/>
                <w:b w:val="0"/>
                <w:bCs/>
                <w:color w:val="FF000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pPr>
              <w:adjustRightInd w:val="0"/>
              <w:snapToGrid w:val="0"/>
              <w:jc w:val="center"/>
              <w:rPr>
                <w:rFonts w:hint="default" w:ascii="Times New Roman" w:hAnsi="Times New Roman" w:eastAsia="宋体" w:cs="Times New Roman"/>
                <w:color w:val="FF0000"/>
                <w:kern w:val="0"/>
                <w:szCs w:val="21"/>
              </w:rPr>
            </w:pPr>
            <w:r>
              <w:rPr>
                <w:rFonts w:hint="default" w:ascii="Times New Roman" w:hAnsi="Times New Roman" w:eastAsia="宋体" w:cs="Times New Roman"/>
                <w:color w:val="auto"/>
                <w:kern w:val="0"/>
                <w:sz w:val="24"/>
                <w:szCs w:val="24"/>
              </w:rPr>
              <w:t>准</w:t>
            </w:r>
          </w:p>
        </w:tc>
        <w:tc>
          <w:tcPr>
            <w:tcW w:w="9441" w:type="dxa"/>
            <w:tcBorders>
              <w:top w:val="single" w:color="auto" w:sz="4" w:space="0"/>
              <w:left w:val="single" w:color="auto" w:sz="4" w:space="0"/>
              <w:bottom w:val="single" w:color="auto" w:sz="4" w:space="0"/>
              <w:right w:val="single" w:color="auto" w:sz="8" w:space="0"/>
            </w:tcBorders>
            <w:vAlign w:val="center"/>
          </w:tcPr>
          <w:p>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1、废气</w:t>
            </w:r>
          </w:p>
          <w:p>
            <w:pPr>
              <w:pStyle w:val="624"/>
              <w:spacing w:line="360" w:lineRule="auto"/>
              <w:ind w:firstLine="480"/>
              <w:rPr>
                <w:rFonts w:hint="default" w:cs="Times New Roman"/>
                <w:color w:val="auto"/>
                <w:sz w:val="24"/>
                <w:szCs w:val="24"/>
                <w:vertAlign w:val="baseline"/>
                <w:lang w:val="en-US" w:eastAsia="zh-CN"/>
              </w:rPr>
            </w:pPr>
            <w:r>
              <w:rPr>
                <w:rFonts w:hint="default" w:ascii="Times New Roman" w:hAnsi="Times New Roman" w:eastAsia="宋体" w:cs="Times New Roman"/>
                <w:color w:val="auto"/>
                <w:sz w:val="24"/>
                <w:szCs w:val="24"/>
              </w:rPr>
              <w:t>营运期项目</w:t>
            </w:r>
            <w:r>
              <w:rPr>
                <w:rFonts w:hint="default" w:ascii="Times New Roman" w:hAnsi="Times New Roman" w:eastAsia="宋体" w:cs="Times New Roman"/>
                <w:color w:val="auto"/>
                <w:sz w:val="24"/>
                <w:szCs w:val="24"/>
                <w:lang w:eastAsia="zh-CN"/>
              </w:rPr>
              <w:t>主要</w:t>
            </w:r>
            <w:r>
              <w:rPr>
                <w:rFonts w:hint="default" w:ascii="Times New Roman" w:hAnsi="Times New Roman" w:eastAsia="宋体" w:cs="Times New Roman"/>
                <w:color w:val="auto"/>
                <w:sz w:val="24"/>
                <w:szCs w:val="24"/>
              </w:rPr>
              <w:t>废气</w:t>
            </w:r>
            <w:r>
              <w:rPr>
                <w:rFonts w:hint="default" w:ascii="Times New Roman" w:hAnsi="Times New Roman" w:eastAsia="宋体" w:cs="Times New Roman"/>
                <w:color w:val="auto"/>
                <w:sz w:val="24"/>
                <w:szCs w:val="24"/>
                <w:lang w:eastAsia="zh-CN"/>
              </w:rPr>
              <w:t>为</w:t>
            </w:r>
            <w:r>
              <w:rPr>
                <w:rFonts w:hint="eastAsia" w:cs="Times New Roman"/>
                <w:color w:val="auto"/>
                <w:sz w:val="24"/>
                <w:szCs w:val="24"/>
                <w:lang w:eastAsia="zh-CN"/>
              </w:rPr>
              <w:t>堆场卸料粉尘，破碎粉尘、投料粉尘，研磨粉尘、成品罐粉尘，打包粉尘</w:t>
            </w:r>
            <w:r>
              <w:rPr>
                <w:rFonts w:hint="eastAsia" w:cs="Times New Roman"/>
                <w:color w:val="auto"/>
                <w:sz w:val="24"/>
                <w:szCs w:val="24"/>
                <w:vertAlign w:val="baseline"/>
                <w:lang w:val="en-US" w:eastAsia="zh-CN"/>
              </w:rPr>
              <w:t>及食堂油烟。其中破碎粉尘、投料粉尘、研磨粉尘及打包粉尘做有组织排放，堆场卸料粉及成品罐粉尘做无组织排放。</w:t>
            </w:r>
            <w:r>
              <w:rPr>
                <w:rFonts w:hint="eastAsia" w:cs="Times New Roman"/>
                <w:color w:val="auto"/>
                <w:sz w:val="24"/>
                <w:szCs w:val="24"/>
                <w:lang w:eastAsia="zh-CN"/>
              </w:rPr>
              <w:t>堆场卸料粉尘，破碎粉尘，投料粉尘，研磨粉尘，成品罐粉尘，打包粉尘</w:t>
            </w:r>
            <w:r>
              <w:rPr>
                <w:rFonts w:hint="eastAsia" w:cs="Times New Roman"/>
                <w:color w:val="auto"/>
                <w:sz w:val="24"/>
                <w:szCs w:val="24"/>
                <w:vertAlign w:val="baseline"/>
                <w:lang w:val="en-US" w:eastAsia="zh-CN"/>
              </w:rPr>
              <w:t>排放浓度执行《大气污染物综合排放标准》（GB16297-1996）表2中颗粒物及氟化物（其他）排放监控浓度限值。</w:t>
            </w:r>
          </w:p>
          <w:p>
            <w:pPr>
              <w:tabs>
                <w:tab w:val="left" w:pos="3822"/>
              </w:tabs>
              <w:adjustRightInd w:val="0"/>
              <w:snapToGrid w:val="0"/>
              <w:spacing w:line="240" w:lineRule="auto"/>
              <w:jc w:val="center"/>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表3-6 废气排放执行标准（单位：</w:t>
            </w:r>
            <w:r>
              <w:rPr>
                <w:rFonts w:hint="default" w:ascii="Times New Roman" w:hAnsi="Times New Roman" w:eastAsia="宋体" w:cs="Times New Roman"/>
                <w:b/>
                <w:bCs/>
                <w:color w:val="auto"/>
                <w:kern w:val="0"/>
                <w:szCs w:val="21"/>
                <w:lang w:val="en-US" w:eastAsia="zh-CN"/>
              </w:rPr>
              <w:t>mg/m</w:t>
            </w:r>
            <w:r>
              <w:rPr>
                <w:rFonts w:hint="default" w:ascii="Times New Roman" w:hAnsi="Times New Roman" w:eastAsia="宋体" w:cs="Times New Roman"/>
                <w:b/>
                <w:bCs/>
                <w:color w:val="auto"/>
                <w:kern w:val="0"/>
                <w:szCs w:val="21"/>
                <w:vertAlign w:val="superscript"/>
                <w:lang w:val="en-US" w:eastAsia="zh-CN"/>
              </w:rPr>
              <w:t>3</w:t>
            </w:r>
            <w:r>
              <w:rPr>
                <w:rFonts w:hint="eastAsia" w:ascii="Times New Roman" w:hAnsi="Times New Roman" w:eastAsia="宋体" w:cs="Times New Roman"/>
                <w:b/>
                <w:bCs/>
                <w:color w:val="auto"/>
                <w:kern w:val="0"/>
                <w:szCs w:val="21"/>
                <w:lang w:val="en-US" w:eastAsia="zh-CN"/>
              </w:rPr>
              <w:t>）</w:t>
            </w:r>
          </w:p>
          <w:tbl>
            <w:tblPr>
              <w:tblStyle w:val="58"/>
              <w:tblW w:w="9438" w:type="dxa"/>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1"/>
              <w:gridCol w:w="700"/>
              <w:gridCol w:w="1110"/>
              <w:gridCol w:w="825"/>
              <w:gridCol w:w="1011"/>
              <w:gridCol w:w="1012"/>
              <w:gridCol w:w="2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1" w:type="dxa"/>
                  <w:vAlign w:val="center"/>
                </w:tcPr>
                <w:p>
                  <w:pPr>
                    <w:adjustRightInd w:val="0"/>
                    <w:snapToGrid w:val="0"/>
                    <w:jc w:val="center"/>
                    <w:rPr>
                      <w:rFonts w:hint="default" w:cs="Times New Roman"/>
                      <w:color w:val="auto"/>
                      <w:sz w:val="24"/>
                      <w:szCs w:val="24"/>
                      <w:vertAlign w:val="baseline"/>
                      <w:lang w:val="en-US" w:eastAsia="zh-CN"/>
                    </w:rPr>
                  </w:pPr>
                  <w:r>
                    <w:rPr>
                      <w:rFonts w:hint="default" w:ascii="Times New Roman" w:hAnsi="Times New Roman" w:eastAsia="宋体" w:cs="Times New Roman"/>
                      <w:b/>
                      <w:color w:val="auto"/>
                      <w:spacing w:val="4"/>
                      <w:kern w:val="18"/>
                      <w:lang w:val="en-US" w:eastAsia="zh-CN"/>
                    </w:rPr>
                    <w:t>标准名称</w:t>
                  </w:r>
                </w:p>
              </w:tc>
              <w:tc>
                <w:tcPr>
                  <w:tcW w:w="700" w:type="dxa"/>
                  <w:vAlign w:val="center"/>
                </w:tcPr>
                <w:p>
                  <w:pPr>
                    <w:adjustRightInd w:val="0"/>
                    <w:snapToGrid w:val="0"/>
                    <w:jc w:val="center"/>
                    <w:rPr>
                      <w:rFonts w:hint="default" w:cs="Times New Roman"/>
                      <w:color w:val="auto"/>
                      <w:sz w:val="24"/>
                      <w:szCs w:val="24"/>
                      <w:vertAlign w:val="baseline"/>
                      <w:lang w:val="en-US" w:eastAsia="zh-CN"/>
                    </w:rPr>
                  </w:pPr>
                  <w:r>
                    <w:rPr>
                      <w:rFonts w:hint="default" w:ascii="Times New Roman" w:hAnsi="Times New Roman" w:eastAsia="宋体" w:cs="Times New Roman"/>
                      <w:b/>
                      <w:color w:val="auto"/>
                      <w:spacing w:val="4"/>
                      <w:kern w:val="18"/>
                    </w:rPr>
                    <w:t>项目</w:t>
                  </w:r>
                </w:p>
              </w:tc>
              <w:tc>
                <w:tcPr>
                  <w:tcW w:w="1110" w:type="dxa"/>
                  <w:vAlign w:val="center"/>
                </w:tcPr>
                <w:p>
                  <w:pPr>
                    <w:adjustRightInd w:val="0"/>
                    <w:snapToGrid w:val="0"/>
                    <w:jc w:val="center"/>
                    <w:rPr>
                      <w:rFonts w:hint="default" w:cs="Times New Roman"/>
                      <w:color w:val="auto"/>
                      <w:sz w:val="24"/>
                      <w:szCs w:val="24"/>
                      <w:vertAlign w:val="baseline"/>
                      <w:lang w:val="en-US" w:eastAsia="zh-CN"/>
                    </w:rPr>
                  </w:pPr>
                  <w:r>
                    <w:rPr>
                      <w:rFonts w:hint="default" w:ascii="Times New Roman" w:hAnsi="Times New Roman" w:eastAsia="宋体" w:cs="Times New Roman"/>
                      <w:b/>
                      <w:color w:val="auto"/>
                      <w:spacing w:val="4"/>
                      <w:kern w:val="18"/>
                    </w:rPr>
                    <w:t>排放方式</w:t>
                  </w:r>
                </w:p>
              </w:tc>
              <w:tc>
                <w:tcPr>
                  <w:tcW w:w="825" w:type="dxa"/>
                  <w:vAlign w:val="center"/>
                </w:tcPr>
                <w:p>
                  <w:pPr>
                    <w:adjustRightInd w:val="0"/>
                    <w:snapToGrid w:val="0"/>
                    <w:jc w:val="center"/>
                    <w:rPr>
                      <w:rFonts w:hint="default" w:cs="Times New Roman"/>
                      <w:color w:val="auto"/>
                      <w:sz w:val="24"/>
                      <w:szCs w:val="24"/>
                      <w:vertAlign w:val="baseline"/>
                      <w:lang w:val="en-US" w:eastAsia="zh-CN"/>
                    </w:rPr>
                  </w:pPr>
                  <w:r>
                    <w:rPr>
                      <w:rFonts w:hint="default" w:ascii="Times New Roman" w:hAnsi="Times New Roman" w:eastAsia="宋体" w:cs="Times New Roman"/>
                      <w:b/>
                      <w:color w:val="auto"/>
                      <w:spacing w:val="4"/>
                      <w:kern w:val="18"/>
                    </w:rPr>
                    <w:t>标准限值</w:t>
                  </w:r>
                </w:p>
              </w:tc>
              <w:tc>
                <w:tcPr>
                  <w:tcW w:w="1011" w:type="dxa"/>
                  <w:vAlign w:val="center"/>
                </w:tcPr>
                <w:p>
                  <w:pPr>
                    <w:adjustRightInd w:val="0"/>
                    <w:snapToGrid w:val="0"/>
                    <w:jc w:val="center"/>
                    <w:rPr>
                      <w:rFonts w:hint="default" w:cs="Times New Roman"/>
                      <w:color w:val="auto"/>
                      <w:sz w:val="24"/>
                      <w:szCs w:val="24"/>
                      <w:vertAlign w:val="baseline"/>
                      <w:lang w:val="en-US" w:eastAsia="zh-CN"/>
                    </w:rPr>
                  </w:pPr>
                  <w:r>
                    <w:rPr>
                      <w:rFonts w:hint="eastAsia" w:ascii="Times New Roman" w:hAnsi="Times New Roman" w:eastAsia="宋体" w:cs="Times New Roman"/>
                      <w:b/>
                      <w:color w:val="auto"/>
                      <w:spacing w:val="4"/>
                      <w:kern w:val="18"/>
                      <w:lang w:eastAsia="zh-CN"/>
                    </w:rPr>
                    <w:t>排气筒高度</w:t>
                  </w:r>
                </w:p>
              </w:tc>
              <w:tc>
                <w:tcPr>
                  <w:tcW w:w="1012" w:type="dxa"/>
                  <w:vAlign w:val="center"/>
                </w:tcPr>
                <w:p>
                  <w:pPr>
                    <w:adjustRightInd w:val="0"/>
                    <w:snapToGrid w:val="0"/>
                    <w:jc w:val="center"/>
                    <w:rPr>
                      <w:rFonts w:hint="default" w:ascii="Times New Roman" w:hAnsi="Times New Roman" w:eastAsia="宋体" w:cs="Times New Roman"/>
                      <w:b/>
                      <w:color w:val="auto"/>
                      <w:spacing w:val="4"/>
                      <w:kern w:val="18"/>
                      <w:lang w:eastAsia="zh-CN"/>
                    </w:rPr>
                  </w:pPr>
                  <w:r>
                    <w:rPr>
                      <w:rFonts w:hint="default" w:ascii="Times New Roman" w:hAnsi="Times New Roman" w:eastAsia="宋体" w:cs="Times New Roman"/>
                      <w:b/>
                      <w:color w:val="auto"/>
                      <w:spacing w:val="4"/>
                      <w:kern w:val="18"/>
                      <w:lang w:eastAsia="zh-CN"/>
                    </w:rPr>
                    <w:t>排放速率</w:t>
                  </w:r>
                  <w:r>
                    <w:rPr>
                      <w:rFonts w:hint="default" w:ascii="Times New Roman" w:hAnsi="Times New Roman" w:eastAsia="宋体" w:cs="Times New Roman"/>
                      <w:b/>
                      <w:color w:val="auto"/>
                      <w:spacing w:val="4"/>
                      <w:kern w:val="18"/>
                      <w:lang w:val="en-US" w:eastAsia="zh-CN"/>
                    </w:rPr>
                    <w:t>kg/h</w:t>
                  </w:r>
                </w:p>
              </w:tc>
              <w:tc>
                <w:tcPr>
                  <w:tcW w:w="2149" w:type="dxa"/>
                  <w:vAlign w:val="center"/>
                </w:tcPr>
                <w:p>
                  <w:pPr>
                    <w:adjustRightInd w:val="0"/>
                    <w:snapToGrid w:val="0"/>
                    <w:jc w:val="center"/>
                    <w:rPr>
                      <w:rFonts w:hint="default" w:cs="Times New Roman"/>
                      <w:color w:val="auto"/>
                      <w:sz w:val="24"/>
                      <w:szCs w:val="24"/>
                      <w:vertAlign w:val="baseline"/>
                      <w:lang w:val="en-US" w:eastAsia="zh-CN"/>
                    </w:rPr>
                  </w:pPr>
                  <w:r>
                    <w:rPr>
                      <w:rFonts w:hint="default" w:ascii="Times New Roman" w:hAnsi="Times New Roman" w:eastAsia="宋体" w:cs="Times New Roman"/>
                      <w:b/>
                      <w:color w:val="auto"/>
                      <w:spacing w:val="4"/>
                      <w:kern w:val="18"/>
                    </w:rPr>
                    <w:t>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31" w:type="dxa"/>
                  <w:vMerge w:val="restart"/>
                  <w:vAlign w:val="center"/>
                </w:tcPr>
                <w:p>
                  <w:pPr>
                    <w:adjustRightInd w:val="0"/>
                    <w:snapToGrid w:val="0"/>
                    <w:jc w:val="center"/>
                    <w:rPr>
                      <w:rFonts w:hint="default" w:cs="Times New Roman"/>
                      <w:color w:val="auto"/>
                      <w:sz w:val="24"/>
                      <w:szCs w:val="24"/>
                      <w:vertAlign w:val="baseline"/>
                      <w:lang w:val="en-US" w:eastAsia="zh-CN"/>
                    </w:rPr>
                  </w:pPr>
                  <w:r>
                    <w:rPr>
                      <w:rFonts w:hint="eastAsia" w:cs="Times New Roman"/>
                      <w:color w:val="auto"/>
                      <w:sz w:val="24"/>
                      <w:szCs w:val="24"/>
                      <w:lang w:eastAsia="zh-CN"/>
                    </w:rPr>
                    <w:t>《大气污染物综合排放标准》（</w:t>
                  </w:r>
                  <w:r>
                    <w:rPr>
                      <w:rFonts w:hint="eastAsia" w:cs="Times New Roman"/>
                      <w:color w:val="auto"/>
                      <w:sz w:val="24"/>
                      <w:szCs w:val="24"/>
                      <w:lang w:val="en-US" w:eastAsia="zh-CN"/>
                    </w:rPr>
                    <w:t>GB16297-1996</w:t>
                  </w:r>
                  <w:r>
                    <w:rPr>
                      <w:rFonts w:hint="eastAsia" w:cs="Times New Roman"/>
                      <w:color w:val="auto"/>
                      <w:sz w:val="24"/>
                      <w:szCs w:val="24"/>
                      <w:lang w:eastAsia="zh-CN"/>
                    </w:rPr>
                    <w:t>）</w:t>
                  </w:r>
                </w:p>
              </w:tc>
              <w:tc>
                <w:tcPr>
                  <w:tcW w:w="700" w:type="dxa"/>
                  <w:vMerge w:val="restart"/>
                  <w:vAlign w:val="center"/>
                </w:tcPr>
                <w:p>
                  <w:pPr>
                    <w:adjustRightInd w:val="0"/>
                    <w:snapToGrid w:val="0"/>
                    <w:jc w:val="center"/>
                    <w:rPr>
                      <w:rFonts w:hint="default" w:cs="Times New Roman"/>
                      <w:color w:val="auto"/>
                      <w:sz w:val="24"/>
                      <w:szCs w:val="24"/>
                      <w:vertAlign w:val="baseline"/>
                      <w:lang w:val="en-US" w:eastAsia="zh-CN"/>
                    </w:rPr>
                  </w:pPr>
                  <w:r>
                    <w:rPr>
                      <w:rFonts w:hint="eastAsia" w:ascii="Times New Roman" w:hAnsi="Times New Roman" w:eastAsia="宋体" w:cs="Times New Roman"/>
                      <w:color w:val="auto"/>
                      <w:spacing w:val="4"/>
                      <w:kern w:val="18"/>
                      <w:lang w:eastAsia="zh-CN"/>
                    </w:rPr>
                    <w:t>颗粒物</w:t>
                  </w:r>
                </w:p>
              </w:tc>
              <w:tc>
                <w:tcPr>
                  <w:tcW w:w="1110" w:type="dxa"/>
                  <w:vAlign w:val="center"/>
                </w:tcPr>
                <w:p>
                  <w:pPr>
                    <w:adjustRightInd w:val="0"/>
                    <w:snapToGrid w:val="0"/>
                    <w:jc w:val="center"/>
                    <w:rPr>
                      <w:rFonts w:hint="default" w:ascii="Times New Roman" w:hAnsi="Times New Roman" w:eastAsia="宋体" w:cs="Times New Roman"/>
                      <w:bCs/>
                      <w:color w:val="auto"/>
                      <w:spacing w:val="4"/>
                      <w:kern w:val="18"/>
                      <w:lang w:val="en-US" w:eastAsia="zh-CN"/>
                    </w:rPr>
                  </w:pPr>
                  <w:r>
                    <w:rPr>
                      <w:rFonts w:hint="eastAsia" w:ascii="Times New Roman" w:hAnsi="Times New Roman" w:eastAsia="宋体" w:cs="Times New Roman"/>
                      <w:bCs/>
                      <w:color w:val="auto"/>
                      <w:spacing w:val="4"/>
                      <w:kern w:val="18"/>
                      <w:lang w:val="en-US" w:eastAsia="zh-CN"/>
                    </w:rPr>
                    <w:t>有组织</w:t>
                  </w:r>
                </w:p>
              </w:tc>
              <w:tc>
                <w:tcPr>
                  <w:tcW w:w="825" w:type="dxa"/>
                  <w:vAlign w:val="center"/>
                </w:tcPr>
                <w:p>
                  <w:pPr>
                    <w:adjustRightInd w:val="0"/>
                    <w:snapToGrid w:val="0"/>
                    <w:jc w:val="center"/>
                    <w:rPr>
                      <w:rFonts w:hint="default" w:ascii="Times New Roman" w:hAnsi="Times New Roman" w:eastAsia="宋体" w:cs="Times New Roman"/>
                      <w:bCs/>
                      <w:color w:val="auto"/>
                      <w:spacing w:val="4"/>
                      <w:kern w:val="18"/>
                      <w:lang w:val="en-US" w:eastAsia="zh-CN"/>
                    </w:rPr>
                  </w:pPr>
                  <w:r>
                    <w:rPr>
                      <w:rFonts w:hint="eastAsia" w:ascii="Times New Roman" w:hAnsi="Times New Roman" w:eastAsia="宋体" w:cs="Times New Roman"/>
                      <w:bCs/>
                      <w:color w:val="auto"/>
                      <w:spacing w:val="4"/>
                      <w:kern w:val="18"/>
                      <w:lang w:val="en-US" w:eastAsia="zh-CN"/>
                    </w:rPr>
                    <w:t>120</w:t>
                  </w:r>
                </w:p>
              </w:tc>
              <w:tc>
                <w:tcPr>
                  <w:tcW w:w="1011" w:type="dxa"/>
                  <w:vAlign w:val="center"/>
                </w:tcPr>
                <w:p>
                  <w:pPr>
                    <w:adjustRightInd w:val="0"/>
                    <w:snapToGrid w:val="0"/>
                    <w:jc w:val="center"/>
                    <w:rPr>
                      <w:rFonts w:hint="default" w:ascii="Times New Roman" w:hAnsi="Times New Roman" w:eastAsia="宋体" w:cs="Times New Roman"/>
                      <w:bCs/>
                      <w:color w:val="auto"/>
                      <w:spacing w:val="4"/>
                      <w:kern w:val="18"/>
                      <w:lang w:val="en-US" w:eastAsia="zh-CN"/>
                    </w:rPr>
                  </w:pPr>
                  <w:r>
                    <w:rPr>
                      <w:rFonts w:hint="eastAsia" w:ascii="Times New Roman" w:hAnsi="Times New Roman" w:eastAsia="宋体" w:cs="Times New Roman"/>
                      <w:bCs/>
                      <w:color w:val="auto"/>
                      <w:spacing w:val="4"/>
                      <w:kern w:val="18"/>
                      <w:lang w:val="en-US" w:eastAsia="zh-CN"/>
                    </w:rPr>
                    <w:t>15</w:t>
                  </w:r>
                </w:p>
              </w:tc>
              <w:tc>
                <w:tcPr>
                  <w:tcW w:w="1012" w:type="dxa"/>
                  <w:vAlign w:val="center"/>
                </w:tcPr>
                <w:p>
                  <w:pPr>
                    <w:adjustRightInd w:val="0"/>
                    <w:snapToGrid w:val="0"/>
                    <w:jc w:val="center"/>
                    <w:rPr>
                      <w:rFonts w:hint="default" w:ascii="Times New Roman" w:hAnsi="Times New Roman" w:eastAsia="宋体" w:cs="Times New Roman"/>
                      <w:bCs/>
                      <w:color w:val="auto"/>
                      <w:spacing w:val="4"/>
                      <w:kern w:val="18"/>
                      <w:lang w:val="en-US" w:eastAsia="zh-CN"/>
                    </w:rPr>
                  </w:pPr>
                  <w:r>
                    <w:rPr>
                      <w:rFonts w:hint="eastAsia" w:ascii="Times New Roman" w:hAnsi="Times New Roman" w:eastAsia="宋体" w:cs="Times New Roman"/>
                      <w:bCs/>
                      <w:color w:val="auto"/>
                      <w:spacing w:val="4"/>
                      <w:kern w:val="18"/>
                      <w:lang w:val="en-US" w:eastAsia="zh-CN"/>
                    </w:rPr>
                    <w:t>3.5</w:t>
                  </w:r>
                </w:p>
              </w:tc>
              <w:tc>
                <w:tcPr>
                  <w:tcW w:w="2149" w:type="dxa"/>
                  <w:vAlign w:val="center"/>
                </w:tcPr>
                <w:p>
                  <w:pPr>
                    <w:adjustRightInd w:val="0"/>
                    <w:snapToGrid w:val="0"/>
                    <w:jc w:val="center"/>
                    <w:rPr>
                      <w:rFonts w:hint="default" w:ascii="Times New Roman" w:hAnsi="Times New Roman" w:eastAsia="宋体" w:cs="Times New Roman"/>
                      <w:bCs/>
                      <w:color w:val="auto"/>
                      <w:spacing w:val="4"/>
                      <w:kern w:val="18"/>
                      <w:lang w:val="en-US" w:eastAsia="zh-CN"/>
                    </w:rPr>
                  </w:pPr>
                  <w:r>
                    <w:rPr>
                      <w:rFonts w:hint="eastAsia" w:ascii="Times New Roman" w:hAnsi="Times New Roman" w:eastAsia="宋体" w:cs="Times New Roman"/>
                      <w:bCs/>
                      <w:color w:val="auto"/>
                      <w:spacing w:val="4"/>
                      <w:kern w:val="18"/>
                      <w:lang w:val="en-US" w:eastAsia="zh-CN"/>
                    </w:rPr>
                    <w:t>DA001排气筒出口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vMerge w:val="continue"/>
                  <w:vAlign w:val="center"/>
                </w:tcPr>
                <w:p>
                  <w:pPr>
                    <w:adjustRightInd w:val="0"/>
                    <w:snapToGrid w:val="0"/>
                    <w:jc w:val="center"/>
                    <w:rPr>
                      <w:rFonts w:hint="eastAsia" w:cs="Times New Roman"/>
                      <w:color w:val="auto"/>
                      <w:sz w:val="24"/>
                      <w:szCs w:val="24"/>
                      <w:lang w:eastAsia="zh-CN"/>
                    </w:rPr>
                  </w:pPr>
                </w:p>
              </w:tc>
              <w:tc>
                <w:tcPr>
                  <w:tcW w:w="700" w:type="dxa"/>
                  <w:vMerge w:val="continue"/>
                  <w:vAlign w:val="center"/>
                </w:tcPr>
                <w:p>
                  <w:pPr>
                    <w:adjustRightInd w:val="0"/>
                    <w:snapToGrid w:val="0"/>
                    <w:jc w:val="center"/>
                    <w:rPr>
                      <w:rFonts w:hint="eastAsia" w:ascii="Times New Roman" w:hAnsi="Times New Roman" w:eastAsia="宋体" w:cs="Times New Roman"/>
                      <w:color w:val="auto"/>
                      <w:spacing w:val="4"/>
                      <w:kern w:val="18"/>
                      <w:lang w:eastAsia="zh-CN"/>
                    </w:rPr>
                  </w:pPr>
                </w:p>
              </w:tc>
              <w:tc>
                <w:tcPr>
                  <w:tcW w:w="1110" w:type="dxa"/>
                  <w:vAlign w:val="center"/>
                </w:tcPr>
                <w:p>
                  <w:pPr>
                    <w:adjustRightInd w:val="0"/>
                    <w:snapToGrid w:val="0"/>
                    <w:jc w:val="center"/>
                    <w:rPr>
                      <w:rFonts w:hint="default" w:cs="Times New Roman" w:asciiTheme="minorHAnsi" w:hAnsiTheme="minorHAnsi" w:eastAsiaTheme="minorEastAsia"/>
                      <w:color w:val="auto"/>
                      <w:kern w:val="2"/>
                      <w:sz w:val="24"/>
                      <w:szCs w:val="24"/>
                      <w:vertAlign w:val="baseline"/>
                      <w:lang w:val="en-US" w:eastAsia="zh-CN" w:bidi="ar-SA"/>
                    </w:rPr>
                  </w:pPr>
                  <w:r>
                    <w:rPr>
                      <w:rFonts w:hint="default" w:ascii="Times New Roman" w:hAnsi="Times New Roman" w:eastAsia="宋体" w:cs="Times New Roman"/>
                      <w:bCs/>
                      <w:color w:val="auto"/>
                      <w:spacing w:val="4"/>
                      <w:kern w:val="18"/>
                    </w:rPr>
                    <w:t>无组织</w:t>
                  </w:r>
                </w:p>
              </w:tc>
              <w:tc>
                <w:tcPr>
                  <w:tcW w:w="825" w:type="dxa"/>
                  <w:vAlign w:val="center"/>
                </w:tcPr>
                <w:p>
                  <w:pPr>
                    <w:adjustRightInd w:val="0"/>
                    <w:snapToGrid w:val="0"/>
                    <w:jc w:val="center"/>
                    <w:rPr>
                      <w:rFonts w:hint="eastAsia" w:cs="Times New Roman" w:asciiTheme="minorHAnsi" w:hAnsiTheme="minorHAnsi" w:eastAsiaTheme="minorEastAsia"/>
                      <w:color w:val="auto"/>
                      <w:kern w:val="2"/>
                      <w:sz w:val="24"/>
                      <w:szCs w:val="24"/>
                      <w:vertAlign w:val="baseline"/>
                      <w:lang w:val="en-US" w:eastAsia="zh-CN" w:bidi="ar-SA"/>
                    </w:rPr>
                  </w:pPr>
                  <w:r>
                    <w:rPr>
                      <w:rFonts w:hint="eastAsia" w:ascii="Times New Roman" w:hAnsi="Times New Roman" w:eastAsia="宋体" w:cs="Times New Roman"/>
                      <w:color w:val="auto"/>
                      <w:spacing w:val="4"/>
                      <w:kern w:val="18"/>
                      <w:lang w:val="en-US" w:eastAsia="zh-CN"/>
                    </w:rPr>
                    <w:t>1.0</w:t>
                  </w:r>
                </w:p>
              </w:tc>
              <w:tc>
                <w:tcPr>
                  <w:tcW w:w="1011" w:type="dxa"/>
                  <w:vAlign w:val="center"/>
                </w:tcPr>
                <w:p>
                  <w:pPr>
                    <w:adjustRightInd w:val="0"/>
                    <w:snapToGrid w:val="0"/>
                    <w:jc w:val="center"/>
                    <w:rPr>
                      <w:rFonts w:hint="default" w:cs="Times New Roman" w:asciiTheme="minorHAnsi" w:hAnsiTheme="minorHAnsi" w:eastAsiaTheme="minorEastAsia"/>
                      <w:color w:val="auto"/>
                      <w:kern w:val="2"/>
                      <w:sz w:val="24"/>
                      <w:szCs w:val="24"/>
                      <w:vertAlign w:val="baseline"/>
                      <w:lang w:val="en-US" w:eastAsia="zh-CN" w:bidi="ar-SA"/>
                    </w:rPr>
                  </w:pPr>
                  <w:r>
                    <w:rPr>
                      <w:rFonts w:hint="default" w:ascii="Times New Roman" w:hAnsi="Times New Roman" w:eastAsia="宋体" w:cs="Times New Roman"/>
                      <w:color w:val="auto"/>
                      <w:spacing w:val="4"/>
                      <w:kern w:val="18"/>
                      <w:lang w:val="en-US" w:eastAsia="zh-CN"/>
                    </w:rPr>
                    <w:t>/</w:t>
                  </w:r>
                </w:p>
              </w:tc>
              <w:tc>
                <w:tcPr>
                  <w:tcW w:w="1012" w:type="dxa"/>
                  <w:vAlign w:val="center"/>
                </w:tcPr>
                <w:p>
                  <w:pPr>
                    <w:adjustRightInd w:val="0"/>
                    <w:snapToGrid w:val="0"/>
                    <w:jc w:val="center"/>
                    <w:rPr>
                      <w:rFonts w:hint="default" w:ascii="Times New Roman" w:hAnsi="Times New Roman" w:eastAsia="宋体" w:cs="Times New Roman"/>
                      <w:color w:val="auto"/>
                      <w:spacing w:val="4"/>
                      <w:kern w:val="18"/>
                      <w:lang w:val="en-US" w:eastAsia="zh-CN"/>
                    </w:rPr>
                  </w:pPr>
                  <w:r>
                    <w:rPr>
                      <w:rFonts w:hint="default" w:ascii="Times New Roman" w:hAnsi="Times New Roman" w:eastAsia="宋体" w:cs="Times New Roman"/>
                      <w:color w:val="auto"/>
                      <w:spacing w:val="4"/>
                      <w:kern w:val="18"/>
                      <w:lang w:val="en-US" w:eastAsia="zh-CN"/>
                    </w:rPr>
                    <w:t>/</w:t>
                  </w:r>
                </w:p>
              </w:tc>
              <w:tc>
                <w:tcPr>
                  <w:tcW w:w="2149" w:type="dxa"/>
                  <w:vAlign w:val="center"/>
                </w:tcPr>
                <w:p>
                  <w:pPr>
                    <w:adjustRightInd w:val="0"/>
                    <w:snapToGrid w:val="0"/>
                    <w:jc w:val="center"/>
                    <w:rPr>
                      <w:rFonts w:hint="eastAsia" w:cs="Times New Roman" w:asciiTheme="minorHAnsi" w:hAnsiTheme="minorHAnsi" w:eastAsiaTheme="minorEastAsia"/>
                      <w:color w:val="auto"/>
                      <w:kern w:val="2"/>
                      <w:sz w:val="24"/>
                      <w:szCs w:val="24"/>
                      <w:vertAlign w:val="baseline"/>
                      <w:lang w:val="en-US" w:eastAsia="zh-CN" w:bidi="ar-SA"/>
                    </w:rPr>
                  </w:pPr>
                  <w:r>
                    <w:rPr>
                      <w:rFonts w:hint="eastAsia" w:ascii="Times New Roman" w:hAnsi="Times New Roman" w:eastAsia="宋体" w:cs="Times New Roman"/>
                      <w:color w:val="auto"/>
                      <w:spacing w:val="4"/>
                      <w:kern w:val="18"/>
                      <w:lang w:eastAsia="zh-CN"/>
                    </w:rPr>
                    <w:t>厂界外浓度最高点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vMerge w:val="continue"/>
                  <w:vAlign w:val="center"/>
                </w:tcPr>
                <w:p>
                  <w:pPr>
                    <w:adjustRightInd w:val="0"/>
                    <w:snapToGrid w:val="0"/>
                    <w:jc w:val="center"/>
                    <w:rPr>
                      <w:rFonts w:hint="eastAsia" w:cs="Times New Roman"/>
                      <w:color w:val="auto"/>
                      <w:sz w:val="24"/>
                      <w:szCs w:val="24"/>
                      <w:lang w:eastAsia="zh-CN"/>
                    </w:rPr>
                  </w:pPr>
                </w:p>
              </w:tc>
              <w:tc>
                <w:tcPr>
                  <w:tcW w:w="700" w:type="dxa"/>
                  <w:vMerge w:val="restart"/>
                  <w:vAlign w:val="center"/>
                </w:tcPr>
                <w:p>
                  <w:pPr>
                    <w:adjustRightInd w:val="0"/>
                    <w:snapToGrid w:val="0"/>
                    <w:jc w:val="center"/>
                    <w:rPr>
                      <w:rFonts w:hint="eastAsia" w:ascii="Times New Roman" w:hAnsi="Times New Roman" w:eastAsia="宋体" w:cs="Times New Roman"/>
                      <w:color w:val="auto"/>
                      <w:spacing w:val="4"/>
                      <w:kern w:val="18"/>
                      <w:lang w:eastAsia="zh-CN"/>
                    </w:rPr>
                  </w:pPr>
                  <w:r>
                    <w:rPr>
                      <w:rFonts w:hint="eastAsia" w:ascii="Times New Roman" w:hAnsi="Times New Roman" w:eastAsia="宋体" w:cs="Times New Roman"/>
                      <w:color w:val="auto"/>
                      <w:spacing w:val="4"/>
                      <w:kern w:val="18"/>
                      <w:lang w:eastAsia="zh-CN"/>
                    </w:rPr>
                    <w:t>氟化物</w:t>
                  </w:r>
                </w:p>
              </w:tc>
              <w:tc>
                <w:tcPr>
                  <w:tcW w:w="1110" w:type="dxa"/>
                  <w:vAlign w:val="center"/>
                </w:tcPr>
                <w:p>
                  <w:pPr>
                    <w:adjustRightInd w:val="0"/>
                    <w:snapToGrid w:val="0"/>
                    <w:jc w:val="center"/>
                    <w:rPr>
                      <w:rFonts w:hint="eastAsia" w:ascii="Times New Roman" w:hAnsi="Times New Roman" w:eastAsia="宋体" w:cs="Times New Roman"/>
                      <w:bCs/>
                      <w:color w:val="auto"/>
                      <w:spacing w:val="4"/>
                      <w:kern w:val="18"/>
                      <w:lang w:eastAsia="zh-CN"/>
                    </w:rPr>
                  </w:pPr>
                  <w:r>
                    <w:rPr>
                      <w:rFonts w:hint="eastAsia" w:ascii="Times New Roman" w:hAnsi="Times New Roman" w:eastAsia="宋体" w:cs="Times New Roman"/>
                      <w:bCs/>
                      <w:color w:val="auto"/>
                      <w:spacing w:val="4"/>
                      <w:kern w:val="18"/>
                      <w:lang w:eastAsia="zh-CN"/>
                    </w:rPr>
                    <w:t>有组织</w:t>
                  </w:r>
                </w:p>
              </w:tc>
              <w:tc>
                <w:tcPr>
                  <w:tcW w:w="825" w:type="dxa"/>
                  <w:vAlign w:val="center"/>
                </w:tcPr>
                <w:p>
                  <w:pPr>
                    <w:adjustRightInd w:val="0"/>
                    <w:snapToGrid w:val="0"/>
                    <w:jc w:val="center"/>
                    <w:rPr>
                      <w:rFonts w:hint="default" w:ascii="Times New Roman" w:hAnsi="Times New Roman" w:eastAsia="宋体" w:cs="Times New Roman"/>
                      <w:color w:val="auto"/>
                      <w:spacing w:val="4"/>
                      <w:kern w:val="18"/>
                      <w:lang w:val="en-US" w:eastAsia="zh-CN"/>
                    </w:rPr>
                  </w:pPr>
                  <w:r>
                    <w:rPr>
                      <w:rFonts w:hint="eastAsia" w:ascii="Times New Roman" w:hAnsi="Times New Roman" w:eastAsia="宋体" w:cs="Times New Roman"/>
                      <w:color w:val="auto"/>
                      <w:spacing w:val="4"/>
                      <w:kern w:val="18"/>
                      <w:lang w:val="en-US" w:eastAsia="zh-CN"/>
                    </w:rPr>
                    <w:t>9</w:t>
                  </w:r>
                </w:p>
              </w:tc>
              <w:tc>
                <w:tcPr>
                  <w:tcW w:w="1011" w:type="dxa"/>
                  <w:vAlign w:val="center"/>
                </w:tcPr>
                <w:p>
                  <w:pPr>
                    <w:adjustRightInd w:val="0"/>
                    <w:snapToGrid w:val="0"/>
                    <w:jc w:val="center"/>
                    <w:rPr>
                      <w:rFonts w:hint="default" w:ascii="Times New Roman" w:hAnsi="Times New Roman" w:eastAsia="宋体" w:cs="Times New Roman"/>
                      <w:color w:val="auto"/>
                      <w:spacing w:val="4"/>
                      <w:kern w:val="18"/>
                      <w:lang w:val="en-US" w:eastAsia="zh-CN"/>
                    </w:rPr>
                  </w:pPr>
                  <w:r>
                    <w:rPr>
                      <w:rFonts w:hint="eastAsia" w:ascii="Times New Roman" w:hAnsi="Times New Roman" w:eastAsia="宋体" w:cs="Times New Roman"/>
                      <w:color w:val="auto"/>
                      <w:spacing w:val="4"/>
                      <w:kern w:val="18"/>
                      <w:lang w:val="en-US" w:eastAsia="zh-CN"/>
                    </w:rPr>
                    <w:t>15</w:t>
                  </w:r>
                </w:p>
              </w:tc>
              <w:tc>
                <w:tcPr>
                  <w:tcW w:w="1012" w:type="dxa"/>
                  <w:vAlign w:val="center"/>
                </w:tcPr>
                <w:p>
                  <w:pPr>
                    <w:adjustRightInd w:val="0"/>
                    <w:snapToGrid w:val="0"/>
                    <w:jc w:val="center"/>
                    <w:rPr>
                      <w:rFonts w:hint="default" w:ascii="Times New Roman" w:hAnsi="Times New Roman" w:eastAsia="宋体" w:cs="Times New Roman"/>
                      <w:color w:val="auto"/>
                      <w:spacing w:val="4"/>
                      <w:kern w:val="18"/>
                      <w:lang w:val="en-US" w:eastAsia="zh-CN"/>
                    </w:rPr>
                  </w:pPr>
                  <w:r>
                    <w:rPr>
                      <w:rFonts w:hint="eastAsia" w:ascii="Times New Roman" w:hAnsi="Times New Roman" w:eastAsia="宋体" w:cs="Times New Roman"/>
                      <w:color w:val="auto"/>
                      <w:spacing w:val="4"/>
                      <w:kern w:val="18"/>
                      <w:lang w:val="en-US" w:eastAsia="zh-CN"/>
                    </w:rPr>
                    <w:t>0.1</w:t>
                  </w:r>
                </w:p>
              </w:tc>
              <w:tc>
                <w:tcPr>
                  <w:tcW w:w="2149" w:type="dxa"/>
                  <w:vAlign w:val="center"/>
                </w:tcPr>
                <w:p>
                  <w:pPr>
                    <w:adjustRightInd w:val="0"/>
                    <w:snapToGrid w:val="0"/>
                    <w:jc w:val="center"/>
                    <w:rPr>
                      <w:rFonts w:hint="eastAsia" w:ascii="Times New Roman" w:hAnsi="Times New Roman" w:eastAsia="宋体" w:cs="Times New Roman"/>
                      <w:color w:val="auto"/>
                      <w:spacing w:val="4"/>
                      <w:kern w:val="18"/>
                      <w:lang w:eastAsia="zh-CN"/>
                    </w:rPr>
                  </w:pPr>
                  <w:r>
                    <w:rPr>
                      <w:rFonts w:hint="eastAsia" w:ascii="Times New Roman" w:hAnsi="Times New Roman" w:eastAsia="宋体" w:cs="Times New Roman"/>
                      <w:bCs/>
                      <w:color w:val="auto"/>
                      <w:spacing w:val="4"/>
                      <w:kern w:val="18"/>
                      <w:lang w:val="en-US" w:eastAsia="zh-CN"/>
                    </w:rPr>
                    <w:t>DA001排气筒出口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vMerge w:val="continue"/>
                  <w:vAlign w:val="center"/>
                </w:tcPr>
                <w:p>
                  <w:pPr>
                    <w:adjustRightInd w:val="0"/>
                    <w:snapToGrid w:val="0"/>
                    <w:jc w:val="center"/>
                    <w:rPr>
                      <w:rFonts w:hint="eastAsia" w:cs="Times New Roman"/>
                      <w:color w:val="auto"/>
                      <w:sz w:val="24"/>
                      <w:szCs w:val="24"/>
                      <w:lang w:eastAsia="zh-CN"/>
                    </w:rPr>
                  </w:pPr>
                </w:p>
              </w:tc>
              <w:tc>
                <w:tcPr>
                  <w:tcW w:w="700" w:type="dxa"/>
                  <w:vMerge w:val="continue"/>
                  <w:vAlign w:val="center"/>
                </w:tcPr>
                <w:p>
                  <w:pPr>
                    <w:adjustRightInd w:val="0"/>
                    <w:snapToGrid w:val="0"/>
                    <w:jc w:val="center"/>
                    <w:rPr>
                      <w:rFonts w:hint="eastAsia" w:ascii="Times New Roman" w:hAnsi="Times New Roman" w:eastAsia="宋体" w:cs="Times New Roman"/>
                      <w:color w:val="auto"/>
                      <w:spacing w:val="4"/>
                      <w:kern w:val="18"/>
                      <w:lang w:eastAsia="zh-CN"/>
                    </w:rPr>
                  </w:pPr>
                </w:p>
              </w:tc>
              <w:tc>
                <w:tcPr>
                  <w:tcW w:w="1110" w:type="dxa"/>
                  <w:vAlign w:val="center"/>
                </w:tcPr>
                <w:p>
                  <w:pPr>
                    <w:adjustRightInd w:val="0"/>
                    <w:snapToGrid w:val="0"/>
                    <w:jc w:val="center"/>
                    <w:rPr>
                      <w:rFonts w:hint="eastAsia" w:ascii="Times New Roman" w:hAnsi="Times New Roman" w:eastAsia="宋体" w:cs="Times New Roman"/>
                      <w:bCs/>
                      <w:color w:val="auto"/>
                      <w:spacing w:val="4"/>
                      <w:kern w:val="18"/>
                      <w:lang w:eastAsia="zh-CN"/>
                    </w:rPr>
                  </w:pPr>
                  <w:r>
                    <w:rPr>
                      <w:rFonts w:hint="eastAsia" w:ascii="Times New Roman" w:hAnsi="Times New Roman" w:eastAsia="宋体" w:cs="Times New Roman"/>
                      <w:bCs/>
                      <w:color w:val="auto"/>
                      <w:spacing w:val="4"/>
                      <w:kern w:val="18"/>
                      <w:lang w:eastAsia="zh-CN"/>
                    </w:rPr>
                    <w:t>无组织</w:t>
                  </w:r>
                </w:p>
              </w:tc>
              <w:tc>
                <w:tcPr>
                  <w:tcW w:w="825" w:type="dxa"/>
                  <w:vAlign w:val="center"/>
                </w:tcPr>
                <w:p>
                  <w:pPr>
                    <w:adjustRightInd w:val="0"/>
                    <w:snapToGrid w:val="0"/>
                    <w:jc w:val="center"/>
                    <w:rPr>
                      <w:rFonts w:hint="default" w:ascii="Times New Roman" w:hAnsi="Times New Roman" w:eastAsia="宋体" w:cs="Times New Roman"/>
                      <w:color w:val="auto"/>
                      <w:spacing w:val="4"/>
                      <w:kern w:val="18"/>
                      <w:lang w:val="en-US" w:eastAsia="zh-CN"/>
                    </w:rPr>
                  </w:pPr>
                  <w:r>
                    <w:rPr>
                      <w:rFonts w:hint="eastAsia" w:ascii="Times New Roman" w:hAnsi="Times New Roman" w:eastAsia="宋体" w:cs="Times New Roman"/>
                      <w:color w:val="auto"/>
                      <w:spacing w:val="4"/>
                      <w:kern w:val="18"/>
                      <w:lang w:val="en-US" w:eastAsia="zh-CN"/>
                    </w:rPr>
                    <w:t>0.02</w:t>
                  </w:r>
                </w:p>
              </w:tc>
              <w:tc>
                <w:tcPr>
                  <w:tcW w:w="1011" w:type="dxa"/>
                  <w:vAlign w:val="center"/>
                </w:tcPr>
                <w:p>
                  <w:pPr>
                    <w:adjustRightInd w:val="0"/>
                    <w:snapToGrid w:val="0"/>
                    <w:jc w:val="center"/>
                    <w:rPr>
                      <w:rFonts w:hint="default" w:ascii="Times New Roman" w:hAnsi="Times New Roman" w:eastAsia="宋体" w:cs="Times New Roman"/>
                      <w:color w:val="auto"/>
                      <w:spacing w:val="4"/>
                      <w:kern w:val="18"/>
                      <w:lang w:val="en-US" w:eastAsia="zh-CN"/>
                    </w:rPr>
                  </w:pPr>
                  <w:r>
                    <w:rPr>
                      <w:rFonts w:hint="eastAsia" w:ascii="Times New Roman" w:hAnsi="Times New Roman" w:eastAsia="宋体" w:cs="Times New Roman"/>
                      <w:color w:val="auto"/>
                      <w:spacing w:val="4"/>
                      <w:kern w:val="18"/>
                      <w:lang w:val="en-US" w:eastAsia="zh-CN"/>
                    </w:rPr>
                    <w:t>/</w:t>
                  </w:r>
                </w:p>
              </w:tc>
              <w:tc>
                <w:tcPr>
                  <w:tcW w:w="1012" w:type="dxa"/>
                  <w:vAlign w:val="center"/>
                </w:tcPr>
                <w:p>
                  <w:pPr>
                    <w:adjustRightInd w:val="0"/>
                    <w:snapToGrid w:val="0"/>
                    <w:jc w:val="center"/>
                    <w:rPr>
                      <w:rFonts w:hint="default" w:ascii="Times New Roman" w:hAnsi="Times New Roman" w:eastAsia="宋体" w:cs="Times New Roman"/>
                      <w:color w:val="auto"/>
                      <w:spacing w:val="4"/>
                      <w:kern w:val="18"/>
                      <w:lang w:val="en-US" w:eastAsia="zh-CN"/>
                    </w:rPr>
                  </w:pPr>
                  <w:r>
                    <w:rPr>
                      <w:rFonts w:hint="eastAsia" w:ascii="Times New Roman" w:hAnsi="Times New Roman" w:eastAsia="宋体" w:cs="Times New Roman"/>
                      <w:color w:val="auto"/>
                      <w:spacing w:val="4"/>
                      <w:kern w:val="18"/>
                      <w:lang w:val="en-US" w:eastAsia="zh-CN"/>
                    </w:rPr>
                    <w:t>/</w:t>
                  </w:r>
                </w:p>
              </w:tc>
              <w:tc>
                <w:tcPr>
                  <w:tcW w:w="2149" w:type="dxa"/>
                  <w:vAlign w:val="center"/>
                </w:tcPr>
                <w:p>
                  <w:pPr>
                    <w:adjustRightInd w:val="0"/>
                    <w:snapToGrid w:val="0"/>
                    <w:jc w:val="center"/>
                    <w:rPr>
                      <w:rFonts w:hint="eastAsia" w:ascii="Times New Roman" w:hAnsi="Times New Roman" w:eastAsia="宋体" w:cs="Times New Roman"/>
                      <w:color w:val="auto"/>
                      <w:spacing w:val="4"/>
                      <w:kern w:val="18"/>
                      <w:lang w:eastAsia="zh-CN"/>
                    </w:rPr>
                  </w:pPr>
                  <w:r>
                    <w:rPr>
                      <w:rFonts w:hint="eastAsia" w:ascii="Times New Roman" w:hAnsi="Times New Roman" w:eastAsia="宋体" w:cs="Times New Roman"/>
                      <w:color w:val="auto"/>
                      <w:spacing w:val="4"/>
                      <w:kern w:val="18"/>
                      <w:lang w:eastAsia="zh-CN"/>
                    </w:rPr>
                    <w:t>厂界外浓度最高点</w:t>
                  </w:r>
                </w:p>
              </w:tc>
            </w:tr>
          </w:tbl>
          <w:p>
            <w:pPr>
              <w:spacing w:line="360" w:lineRule="auto"/>
              <w:ind w:firstLine="436" w:firstLineChars="182"/>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食堂油烟执行《饮食业油烟排放标准</w:t>
            </w:r>
            <w:r>
              <w:rPr>
                <w:rFonts w:hint="eastAsia" w:cs="Times New Roman"/>
                <w:color w:val="auto"/>
                <w:sz w:val="24"/>
                <w:highlight w:val="none"/>
                <w:lang w:val="en-US" w:eastAsia="zh-CN"/>
              </w:rPr>
              <w:t>（试行）</w:t>
            </w:r>
            <w:r>
              <w:rPr>
                <w:rFonts w:hint="default" w:ascii="Times New Roman" w:hAnsi="Times New Roman" w:eastAsia="宋体" w:cs="Times New Roman"/>
                <w:color w:val="auto"/>
                <w:sz w:val="24"/>
                <w:highlight w:val="none"/>
                <w:lang w:val="en-US" w:eastAsia="zh-CN"/>
              </w:rPr>
              <w:t>》（GB18483-2001）</w:t>
            </w:r>
            <w:r>
              <w:rPr>
                <w:rFonts w:hint="eastAsia" w:ascii="Times New Roman" w:hAnsi="Times New Roman" w:eastAsia="宋体" w:cs="Times New Roman"/>
                <w:color w:val="auto"/>
                <w:sz w:val="24"/>
                <w:highlight w:val="none"/>
                <w:lang w:val="en-US" w:eastAsia="zh-CN"/>
              </w:rPr>
              <w:t>“小</w:t>
            </w:r>
            <w:r>
              <w:rPr>
                <w:rFonts w:hint="default" w:ascii="Times New Roman" w:hAnsi="Times New Roman" w:eastAsia="宋体" w:cs="Times New Roman"/>
                <w:color w:val="auto"/>
                <w:sz w:val="24"/>
                <w:highlight w:val="none"/>
                <w:lang w:val="en-US" w:eastAsia="zh-CN"/>
              </w:rPr>
              <w:t>型规模</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标准，具体见下表：</w:t>
            </w:r>
          </w:p>
          <w:p>
            <w:pPr>
              <w:tabs>
                <w:tab w:val="left" w:pos="3822"/>
              </w:tabs>
              <w:adjustRightInd w:val="0"/>
              <w:snapToGrid w:val="0"/>
              <w:spacing w:line="240" w:lineRule="auto"/>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表3-</w:t>
            </w:r>
            <w:r>
              <w:rPr>
                <w:rFonts w:hint="eastAsia" w:ascii="Times New Roman" w:hAnsi="Times New Roman" w:eastAsia="宋体" w:cs="Times New Roman"/>
                <w:b/>
                <w:bCs/>
                <w:color w:val="auto"/>
                <w:kern w:val="0"/>
                <w:szCs w:val="21"/>
                <w:lang w:val="en-US" w:eastAsia="zh-CN"/>
              </w:rPr>
              <w:t>7</w:t>
            </w:r>
            <w:r>
              <w:rPr>
                <w:rFonts w:hint="default" w:ascii="Times New Roman" w:hAnsi="Times New Roman" w:eastAsia="宋体" w:cs="Times New Roman"/>
                <w:b/>
                <w:bCs/>
                <w:color w:val="auto"/>
                <w:kern w:val="0"/>
                <w:szCs w:val="21"/>
                <w:lang w:val="en-US" w:eastAsia="zh-CN"/>
              </w:rPr>
              <w:t xml:space="preserve">  饮食业油烟</w:t>
            </w:r>
            <w:r>
              <w:rPr>
                <w:rFonts w:hint="default" w:ascii="Times New Roman" w:hAnsi="Times New Roman" w:eastAsia="宋体" w:cs="Times New Roman"/>
                <w:b/>
                <w:bCs/>
                <w:color w:val="auto"/>
                <w:kern w:val="0"/>
                <w:szCs w:val="21"/>
                <w:lang w:val="zh-CN" w:eastAsia="zh-CN"/>
              </w:rPr>
              <w:t>排放标准</w:t>
            </w:r>
            <w:r>
              <w:rPr>
                <w:rFonts w:hint="eastAsia" w:ascii="Times New Roman" w:hAnsi="Times New Roman" w:eastAsia="宋体" w:cs="Times New Roman"/>
                <w:b/>
                <w:bCs/>
                <w:color w:val="auto"/>
                <w:kern w:val="0"/>
                <w:szCs w:val="21"/>
                <w:lang w:val="zh-CN" w:eastAsia="zh-CN"/>
              </w:rPr>
              <w:t>（试行）</w:t>
            </w:r>
          </w:p>
          <w:tbl>
            <w:tblPr>
              <w:tblStyle w:val="57"/>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3155"/>
              <w:gridCol w:w="2022"/>
              <w:gridCol w:w="2022"/>
              <w:gridCol w:w="2022"/>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30" w:hRule="atLeast"/>
                <w:jc w:val="center"/>
              </w:trPr>
              <w:tc>
                <w:tcPr>
                  <w:tcW w:w="1711" w:type="pct"/>
                  <w:noWrap w:val="0"/>
                  <w:vAlign w:val="center"/>
                </w:tcPr>
                <w:p>
                  <w:pPr>
                    <w:pStyle w:val="77"/>
                    <w:jc w:val="center"/>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规模</w:t>
                  </w:r>
                </w:p>
              </w:tc>
              <w:tc>
                <w:tcPr>
                  <w:tcW w:w="1096" w:type="pct"/>
                  <w:noWrap w:val="0"/>
                  <w:vAlign w:val="center"/>
                </w:tcPr>
                <w:p>
                  <w:pPr>
                    <w:pStyle w:val="77"/>
                    <w:jc w:val="center"/>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小型</w:t>
                  </w:r>
                </w:p>
              </w:tc>
              <w:tc>
                <w:tcPr>
                  <w:tcW w:w="1096" w:type="pct"/>
                  <w:noWrap w:val="0"/>
                  <w:vAlign w:val="center"/>
                </w:tcPr>
                <w:p>
                  <w:pPr>
                    <w:pStyle w:val="77"/>
                    <w:jc w:val="center"/>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中型</w:t>
                  </w:r>
                </w:p>
              </w:tc>
              <w:tc>
                <w:tcPr>
                  <w:tcW w:w="1096" w:type="pct"/>
                  <w:noWrap w:val="0"/>
                  <w:vAlign w:val="center"/>
                </w:tcPr>
                <w:p>
                  <w:pPr>
                    <w:pStyle w:val="77"/>
                    <w:jc w:val="center"/>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大型</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05" w:hRule="atLeast"/>
                <w:jc w:val="center"/>
              </w:trPr>
              <w:tc>
                <w:tcPr>
                  <w:tcW w:w="1711" w:type="pct"/>
                  <w:noWrap w:val="0"/>
                  <w:vAlign w:val="center"/>
                </w:tcPr>
                <w:p>
                  <w:pPr>
                    <w:pStyle w:val="77"/>
                    <w:jc w:val="center"/>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最高允许排放浓度（mg/m</w:t>
                  </w:r>
                  <w:r>
                    <w:rPr>
                      <w:rFonts w:hint="default" w:ascii="Times New Roman" w:hAnsi="Times New Roman" w:cs="Times New Roman"/>
                      <w:color w:val="auto"/>
                      <w:szCs w:val="20"/>
                      <w:vertAlign w:val="superscript"/>
                      <w:lang w:val="en-US" w:eastAsia="zh-CN"/>
                    </w:rPr>
                    <w:t>3</w:t>
                  </w:r>
                  <w:r>
                    <w:rPr>
                      <w:rFonts w:hint="default" w:ascii="Times New Roman" w:hAnsi="Times New Roman" w:cs="Times New Roman"/>
                      <w:color w:val="auto"/>
                      <w:szCs w:val="20"/>
                      <w:lang w:val="en-US" w:eastAsia="zh-CN"/>
                    </w:rPr>
                    <w:t>)</w:t>
                  </w:r>
                </w:p>
              </w:tc>
              <w:tc>
                <w:tcPr>
                  <w:tcW w:w="3288" w:type="pct"/>
                  <w:gridSpan w:val="3"/>
                  <w:noWrap w:val="0"/>
                  <w:vAlign w:val="center"/>
                </w:tcPr>
                <w:p>
                  <w:pPr>
                    <w:pStyle w:val="77"/>
                    <w:jc w:val="center"/>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65" w:hRule="atLeast"/>
                <w:jc w:val="center"/>
              </w:trPr>
              <w:tc>
                <w:tcPr>
                  <w:tcW w:w="1711" w:type="pct"/>
                  <w:noWrap w:val="0"/>
                  <w:vAlign w:val="center"/>
                </w:tcPr>
                <w:p>
                  <w:pPr>
                    <w:pStyle w:val="77"/>
                    <w:jc w:val="center"/>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净化设施最低去除效率（%）</w:t>
                  </w:r>
                </w:p>
              </w:tc>
              <w:tc>
                <w:tcPr>
                  <w:tcW w:w="1096" w:type="pct"/>
                  <w:noWrap w:val="0"/>
                  <w:vAlign w:val="center"/>
                </w:tcPr>
                <w:p>
                  <w:pPr>
                    <w:pStyle w:val="77"/>
                    <w:jc w:val="center"/>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60</w:t>
                  </w:r>
                </w:p>
              </w:tc>
              <w:tc>
                <w:tcPr>
                  <w:tcW w:w="1096" w:type="pct"/>
                  <w:noWrap w:val="0"/>
                  <w:vAlign w:val="center"/>
                </w:tcPr>
                <w:p>
                  <w:pPr>
                    <w:pStyle w:val="77"/>
                    <w:jc w:val="center"/>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75</w:t>
                  </w:r>
                </w:p>
              </w:tc>
              <w:tc>
                <w:tcPr>
                  <w:tcW w:w="1096" w:type="pct"/>
                  <w:noWrap w:val="0"/>
                  <w:vAlign w:val="center"/>
                </w:tcPr>
                <w:p>
                  <w:pPr>
                    <w:pStyle w:val="77"/>
                    <w:jc w:val="center"/>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85</w:t>
                  </w:r>
                </w:p>
              </w:tc>
            </w:tr>
          </w:tbl>
          <w:p>
            <w:pPr>
              <w:pStyle w:val="38"/>
              <w:snapToGrid w:val="0"/>
              <w:spacing w:before="0" w:beforeAutospacing="0" w:after="0" w:afterAutospacing="0" w:line="360" w:lineRule="auto"/>
              <w:jc w:val="both"/>
              <w:rPr>
                <w:rFonts w:hint="default" w:ascii="Times New Roman" w:hAnsi="Times New Roman" w:eastAsia="宋体" w:cs="Times New Roman"/>
                <w:b/>
                <w:bCs/>
                <w:color w:val="auto"/>
                <w:szCs w:val="20"/>
              </w:rPr>
            </w:pPr>
            <w:r>
              <w:rPr>
                <w:rFonts w:hint="default" w:ascii="Times New Roman" w:hAnsi="Times New Roman" w:eastAsia="宋体" w:cs="Times New Roman"/>
                <w:b/>
                <w:bCs/>
                <w:color w:val="auto"/>
                <w:szCs w:val="20"/>
              </w:rPr>
              <w:t>2、水污染物</w:t>
            </w:r>
          </w:p>
          <w:p>
            <w:pPr>
              <w:pStyle w:val="38"/>
              <w:snapToGrid w:val="0"/>
              <w:spacing w:before="0" w:beforeAutospacing="0" w:after="0" w:afterAutospacing="0" w:line="360" w:lineRule="auto"/>
              <w:ind w:firstLine="480" w:firstLineChars="200"/>
              <w:jc w:val="both"/>
              <w:rPr>
                <w:rFonts w:hint="eastAsia" w:ascii="Times New Roman" w:hAnsi="Times New Roman" w:cs="Times New Roman"/>
                <w:color w:val="FF0000"/>
                <w:szCs w:val="20"/>
                <w:lang w:val="en-US" w:eastAsia="zh-CN"/>
              </w:rPr>
            </w:pPr>
            <w:r>
              <w:rPr>
                <w:rFonts w:hint="default" w:ascii="Times New Roman" w:hAnsi="Times New Roman" w:eastAsia="宋体" w:cs="Times New Roman"/>
                <w:color w:val="auto"/>
                <w:szCs w:val="20"/>
              </w:rPr>
              <w:t>本项目废水主要为生活污水</w:t>
            </w:r>
            <w:r>
              <w:rPr>
                <w:rFonts w:hint="eastAsia" w:ascii="Times New Roman" w:hAnsi="Times New Roman" w:cs="Times New Roman"/>
                <w:color w:val="auto"/>
                <w:szCs w:val="20"/>
                <w:lang w:eastAsia="zh-CN"/>
              </w:rPr>
              <w:t>、车辆冲洗水、初期雨水</w:t>
            </w:r>
            <w:r>
              <w:rPr>
                <w:rFonts w:hint="default" w:ascii="Times New Roman" w:hAnsi="Times New Roman" w:eastAsia="宋体" w:cs="Times New Roman"/>
                <w:color w:val="auto"/>
                <w:szCs w:val="20"/>
                <w:lang w:eastAsia="zh-CN"/>
              </w:rPr>
              <w:t>。</w:t>
            </w:r>
            <w:r>
              <w:rPr>
                <w:rFonts w:hint="eastAsia" w:ascii="Times New Roman" w:hAnsi="Times New Roman" w:eastAsia="宋体" w:cs="Times New Roman"/>
                <w:color w:val="auto"/>
                <w:szCs w:val="20"/>
                <w:lang w:val="en-US" w:eastAsia="zh-CN"/>
              </w:rPr>
              <w:t>生活污水经</w:t>
            </w:r>
            <w:r>
              <w:rPr>
                <w:rFonts w:hint="eastAsia" w:ascii="Times New Roman" w:hAnsi="Times New Roman" w:cs="Times New Roman"/>
                <w:color w:val="auto"/>
                <w:szCs w:val="20"/>
                <w:lang w:val="en-US" w:eastAsia="zh-CN"/>
              </w:rPr>
              <w:t>隔油池+</w:t>
            </w:r>
            <w:r>
              <w:rPr>
                <w:rFonts w:hint="eastAsia" w:ascii="Times New Roman" w:hAnsi="Times New Roman" w:eastAsia="宋体" w:cs="Times New Roman"/>
                <w:color w:val="auto"/>
                <w:szCs w:val="20"/>
                <w:lang w:val="en-US" w:eastAsia="zh-CN"/>
              </w:rPr>
              <w:t>化粪池预处理</w:t>
            </w:r>
            <w:r>
              <w:rPr>
                <w:rFonts w:hint="eastAsia" w:ascii="Times New Roman" w:hAnsi="Times New Roman" w:cs="Times New Roman"/>
                <w:color w:val="auto"/>
                <w:szCs w:val="20"/>
                <w:lang w:val="en-US" w:eastAsia="zh-CN"/>
              </w:rPr>
              <w:t>后通过生活区排口进园区污水管网入高新技术产业园污水处理厂深度处理达</w:t>
            </w:r>
            <w:r>
              <w:rPr>
                <w:rFonts w:hint="eastAsia" w:ascii="Times New Roman" w:hAnsi="Times New Roman" w:eastAsia="宋体" w:cs="Times New Roman"/>
                <w:color w:val="auto"/>
                <w:sz w:val="24"/>
                <w:lang w:val="en-US" w:eastAsia="zh-CN"/>
              </w:rPr>
              <w:t>《城镇污水处理厂污染物排放标准》（GB18918-2002）一级A标准后外排南潦河</w:t>
            </w:r>
            <w:r>
              <w:rPr>
                <w:rFonts w:hint="default" w:ascii="Times New Roman" w:hAnsi="Times New Roman" w:eastAsia="宋体" w:cs="Times New Roman"/>
                <w:color w:val="auto"/>
                <w:szCs w:val="20"/>
              </w:rPr>
              <w:t>。</w:t>
            </w:r>
            <w:r>
              <w:rPr>
                <w:rFonts w:hint="eastAsia" w:ascii="Times New Roman" w:hAnsi="Times New Roman" w:cs="Times New Roman"/>
                <w:color w:val="auto"/>
                <w:szCs w:val="20"/>
                <w:lang w:eastAsia="zh-CN"/>
              </w:rPr>
              <w:t>车辆冲洗水经洗车池旁沉淀池处理后循环使用，不外排。</w:t>
            </w:r>
            <w:r>
              <w:rPr>
                <w:rFonts w:hint="eastAsia" w:ascii="Times New Roman" w:hAnsi="Times New Roman" w:cs="Times New Roman"/>
                <w:color w:val="auto"/>
                <w:szCs w:val="20"/>
                <w:lang w:val="en-US" w:eastAsia="zh-CN"/>
              </w:rPr>
              <w:t>项目车辆冲洗水执行《城市污水再生利用城市杂用水水质》（GB/T18920-2020）中车辆清洗用水标准。</w:t>
            </w:r>
            <w:r>
              <w:rPr>
                <w:rFonts w:hint="eastAsia" w:ascii="Times New Roman" w:hAnsi="Times New Roman" w:cs="Times New Roman"/>
                <w:color w:val="FF0000"/>
                <w:szCs w:val="20"/>
                <w:lang w:val="en-US" w:eastAsia="zh-CN"/>
              </w:rPr>
              <w:t>初期雨水经自建雨水池收集后通过水泵抽入厂房洗车池内储存，沉淀后回用于车辆冲洗及洒水抑尘。</w:t>
            </w:r>
          </w:p>
          <w:p>
            <w:pPr>
              <w:pStyle w:val="38"/>
              <w:snapToGrid w:val="0"/>
              <w:spacing w:before="0" w:beforeAutospacing="0" w:after="0" w:afterAutospacing="0" w:line="240" w:lineRule="auto"/>
              <w:ind w:firstLine="422" w:firstLineChars="20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表3-8 生活污水处理后排放标准</w:t>
            </w:r>
            <w:r>
              <w:rPr>
                <w:rFonts w:hint="eastAsia" w:ascii="Times New Roman" w:hAnsi="Times New Roman" w:eastAsia="宋体" w:cs="Times New Roman"/>
                <w:b/>
                <w:bCs/>
                <w:color w:val="auto"/>
                <w:kern w:val="0"/>
                <w:szCs w:val="21"/>
                <w:lang w:val="en-US" w:eastAsia="zh-CN"/>
              </w:rPr>
              <w:t>（单位：</w:t>
            </w:r>
            <w:r>
              <w:rPr>
                <w:rFonts w:hint="default" w:ascii="Times New Roman" w:hAnsi="Times New Roman" w:eastAsia="宋体" w:cs="Times New Roman"/>
                <w:b/>
                <w:bCs/>
                <w:color w:val="auto"/>
                <w:kern w:val="0"/>
                <w:szCs w:val="21"/>
                <w:lang w:val="en-US" w:eastAsia="zh-CN"/>
              </w:rPr>
              <w:t>mg/</w:t>
            </w:r>
            <w:r>
              <w:rPr>
                <w:rFonts w:hint="eastAsia" w:ascii="Times New Roman" w:hAnsi="Times New Roman" w:cs="Times New Roman"/>
                <w:b/>
                <w:bCs/>
                <w:color w:val="auto"/>
                <w:kern w:val="0"/>
                <w:szCs w:val="21"/>
                <w:lang w:val="en-US" w:eastAsia="zh-CN"/>
              </w:rPr>
              <w:t>L</w:t>
            </w:r>
            <w:r>
              <w:rPr>
                <w:rFonts w:hint="eastAsia" w:ascii="Times New Roman" w:hAnsi="Times New Roman" w:eastAsia="宋体" w:cs="Times New Roman"/>
                <w:b/>
                <w:bCs/>
                <w:color w:val="auto"/>
                <w:kern w:val="0"/>
                <w:szCs w:val="21"/>
                <w:lang w:val="en-US" w:eastAsia="zh-CN"/>
              </w:rPr>
              <w:t>）</w:t>
            </w:r>
          </w:p>
          <w:tbl>
            <w:tblPr>
              <w:tblStyle w:val="58"/>
              <w:tblW w:w="9390"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5"/>
              <w:gridCol w:w="840"/>
              <w:gridCol w:w="735"/>
              <w:gridCol w:w="585"/>
              <w:gridCol w:w="660"/>
              <w:gridCol w:w="615"/>
              <w:gridCol w:w="675"/>
              <w:gridCol w:w="69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vMerge w:val="restart"/>
                  <w:vAlign w:val="center"/>
                </w:tcPr>
                <w:p>
                  <w:pPr>
                    <w:jc w:val="center"/>
                    <w:textAlignment w:val="center"/>
                    <w:rPr>
                      <w:rFonts w:hint="default" w:ascii="Times New Roman" w:hAnsi="Times New Roman" w:cs="Times New Roman"/>
                      <w:b/>
                      <w:bCs/>
                      <w:color w:val="auto"/>
                      <w:sz w:val="21"/>
                      <w:szCs w:val="21"/>
                      <w:vertAlign w:val="baseline"/>
                      <w:lang w:val="en-US" w:eastAsia="zh-CN"/>
                    </w:rPr>
                  </w:pPr>
                  <w:r>
                    <w:rPr>
                      <w:b/>
                      <w:bCs/>
                      <w:color w:val="auto"/>
                      <w:szCs w:val="21"/>
                      <w:highlight w:val="none"/>
                    </w:rPr>
                    <w:t>标准</w:t>
                  </w:r>
                </w:p>
              </w:tc>
              <w:tc>
                <w:tcPr>
                  <w:tcW w:w="5955" w:type="dxa"/>
                  <w:gridSpan w:val="8"/>
                  <w:vAlign w:val="center"/>
                </w:tcPr>
                <w:p>
                  <w:pPr>
                    <w:jc w:val="center"/>
                    <w:textAlignment w:val="center"/>
                    <w:rPr>
                      <w:rFonts w:hint="default" w:ascii="Times New Roman" w:hAnsi="Times New Roman" w:cs="Times New Roman"/>
                      <w:b/>
                      <w:bCs/>
                      <w:color w:val="auto"/>
                      <w:sz w:val="21"/>
                      <w:szCs w:val="21"/>
                      <w:vertAlign w:val="baseline"/>
                      <w:lang w:val="en-US" w:eastAsia="zh-CN"/>
                    </w:rPr>
                  </w:pPr>
                  <w:r>
                    <w:rPr>
                      <w:b/>
                      <w:bCs/>
                      <w:color w:val="auto"/>
                      <w:szCs w:val="21"/>
                      <w:highlight w:val="none"/>
                    </w:rPr>
                    <w:t>评价标准值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35" w:type="dxa"/>
                  <w:vMerge w:val="continue"/>
                  <w:vAlign w:val="center"/>
                </w:tcPr>
                <w:p>
                  <w:pPr>
                    <w:jc w:val="center"/>
                    <w:textAlignment w:val="center"/>
                    <w:rPr>
                      <w:rFonts w:hint="default" w:ascii="Times New Roman" w:hAnsi="Times New Roman" w:cs="Times New Roman"/>
                      <w:b/>
                      <w:bCs/>
                      <w:color w:val="auto"/>
                      <w:sz w:val="21"/>
                      <w:szCs w:val="21"/>
                      <w:vertAlign w:val="baseline"/>
                      <w:lang w:val="en-US" w:eastAsia="zh-CN"/>
                    </w:rPr>
                  </w:pPr>
                </w:p>
              </w:tc>
              <w:tc>
                <w:tcPr>
                  <w:tcW w:w="840"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COD</w:t>
                  </w:r>
                  <w:r>
                    <w:rPr>
                      <w:rFonts w:hint="eastAsia" w:ascii="Times New Roman" w:hAnsi="Times New Roman" w:eastAsia="宋体" w:cs="Times New Roman"/>
                      <w:color w:val="auto"/>
                      <w:szCs w:val="21"/>
                      <w:vertAlign w:val="subscript"/>
                      <w:lang w:val="en-US" w:eastAsia="zh-CN" w:bidi="ar"/>
                    </w:rPr>
                    <w:t>Cr</w:t>
                  </w:r>
                </w:p>
              </w:tc>
              <w:tc>
                <w:tcPr>
                  <w:tcW w:w="735"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BOD</w:t>
                  </w:r>
                  <w:r>
                    <w:rPr>
                      <w:rFonts w:hint="eastAsia" w:ascii="Times New Roman" w:hAnsi="Times New Roman" w:eastAsia="宋体" w:cs="Times New Roman"/>
                      <w:color w:val="auto"/>
                      <w:szCs w:val="21"/>
                      <w:vertAlign w:val="subscript"/>
                      <w:lang w:val="en-US" w:eastAsia="zh-CN" w:bidi="ar"/>
                    </w:rPr>
                    <w:t>5</w:t>
                  </w:r>
                </w:p>
              </w:tc>
              <w:tc>
                <w:tcPr>
                  <w:tcW w:w="585"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SS</w:t>
                  </w:r>
                </w:p>
              </w:tc>
              <w:tc>
                <w:tcPr>
                  <w:tcW w:w="660"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氨氮</w:t>
                  </w:r>
                </w:p>
              </w:tc>
              <w:tc>
                <w:tcPr>
                  <w:tcW w:w="615"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pH</w:t>
                  </w:r>
                </w:p>
              </w:tc>
              <w:tc>
                <w:tcPr>
                  <w:tcW w:w="675"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总氮</w:t>
                  </w:r>
                </w:p>
              </w:tc>
              <w:tc>
                <w:tcPr>
                  <w:tcW w:w="690"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总磷</w:t>
                  </w:r>
                </w:p>
              </w:tc>
              <w:tc>
                <w:tcPr>
                  <w:tcW w:w="1155" w:type="dxa"/>
                  <w:vAlign w:val="center"/>
                </w:tcPr>
                <w:p>
                  <w:pPr>
                    <w:adjustRightInd w:val="0"/>
                    <w:snapToGrid w:val="0"/>
                    <w:jc w:val="center"/>
                    <w:rPr>
                      <w:rFonts w:hint="eastAsia"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奉新高新技术产业园去污水处理厂接管标准</w:t>
                  </w:r>
                </w:p>
              </w:tc>
              <w:tc>
                <w:tcPr>
                  <w:tcW w:w="840"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340</w:t>
                  </w:r>
                </w:p>
              </w:tc>
              <w:tc>
                <w:tcPr>
                  <w:tcW w:w="735"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300</w:t>
                  </w:r>
                </w:p>
              </w:tc>
              <w:tc>
                <w:tcPr>
                  <w:tcW w:w="585"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400</w:t>
                  </w:r>
                </w:p>
              </w:tc>
              <w:tc>
                <w:tcPr>
                  <w:tcW w:w="660"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30</w:t>
                  </w:r>
                </w:p>
              </w:tc>
              <w:tc>
                <w:tcPr>
                  <w:tcW w:w="615"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6-9</w:t>
                  </w:r>
                </w:p>
              </w:tc>
              <w:tc>
                <w:tcPr>
                  <w:tcW w:w="675"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50</w:t>
                  </w:r>
                </w:p>
              </w:tc>
              <w:tc>
                <w:tcPr>
                  <w:tcW w:w="690"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5</w:t>
                  </w:r>
                </w:p>
              </w:tc>
              <w:tc>
                <w:tcPr>
                  <w:tcW w:w="1155"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vAlign w:val="center"/>
                </w:tcPr>
                <w:p>
                  <w:pPr>
                    <w:adjustRightInd w:val="0"/>
                    <w:snapToGrid w:val="0"/>
                    <w:jc w:val="center"/>
                    <w:rPr>
                      <w:rFonts w:hint="eastAsia" w:ascii="Times New Roman" w:hAnsi="Times New Roman" w:cs="Times New Roman" w:eastAsiaTheme="minorEastAsia"/>
                      <w:b/>
                      <w:bCs/>
                      <w:color w:val="auto"/>
                      <w:kern w:val="2"/>
                      <w:sz w:val="21"/>
                      <w:szCs w:val="21"/>
                      <w:vertAlign w:val="baseline"/>
                      <w:lang w:val="en-US" w:eastAsia="zh-CN" w:bidi="ar-SA"/>
                    </w:rPr>
                  </w:pPr>
                  <w:r>
                    <w:rPr>
                      <w:rFonts w:hint="eastAsia" w:ascii="Times New Roman" w:hAnsi="Times New Roman" w:eastAsia="宋体" w:cs="Times New Roman"/>
                      <w:color w:val="auto"/>
                      <w:szCs w:val="21"/>
                      <w:lang w:val="en-US" w:eastAsia="zh-CN" w:bidi="ar"/>
                    </w:rPr>
                    <w:t>《城镇污水处理厂污染物排放标准》（GB18918-2002）一级A标准</w:t>
                  </w:r>
                </w:p>
              </w:tc>
              <w:tc>
                <w:tcPr>
                  <w:tcW w:w="840"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50</w:t>
                  </w:r>
                </w:p>
              </w:tc>
              <w:tc>
                <w:tcPr>
                  <w:tcW w:w="735"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10</w:t>
                  </w:r>
                </w:p>
              </w:tc>
              <w:tc>
                <w:tcPr>
                  <w:tcW w:w="585"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10</w:t>
                  </w:r>
                </w:p>
              </w:tc>
              <w:tc>
                <w:tcPr>
                  <w:tcW w:w="660" w:type="dxa"/>
                  <w:vAlign w:val="center"/>
                </w:tcPr>
                <w:p>
                  <w:pPr>
                    <w:adjustRightInd w:val="0"/>
                    <w:snapToGrid w:val="0"/>
                    <w:jc w:val="center"/>
                    <w:rPr>
                      <w:rFonts w:hint="eastAsia" w:ascii="Times New Roman" w:hAnsi="Times New Roman" w:eastAsia="宋体" w:cs="Times New Roman"/>
                      <w:color w:val="FF0000"/>
                      <w:kern w:val="2"/>
                      <w:sz w:val="21"/>
                      <w:szCs w:val="21"/>
                      <w:lang w:val="en-US" w:eastAsia="zh-CN" w:bidi="ar"/>
                    </w:rPr>
                  </w:pPr>
                  <w:r>
                    <w:rPr>
                      <w:rFonts w:hint="eastAsia" w:ascii="Times New Roman" w:hAnsi="Times New Roman" w:eastAsia="宋体" w:cs="Times New Roman"/>
                      <w:color w:val="FF0000"/>
                      <w:szCs w:val="21"/>
                      <w:lang w:val="en-US" w:eastAsia="zh-CN" w:bidi="ar"/>
                    </w:rPr>
                    <w:t>5（8）</w:t>
                  </w:r>
                </w:p>
              </w:tc>
              <w:tc>
                <w:tcPr>
                  <w:tcW w:w="615"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6~9</w:t>
                  </w:r>
                </w:p>
              </w:tc>
              <w:tc>
                <w:tcPr>
                  <w:tcW w:w="675"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15</w:t>
                  </w:r>
                </w:p>
              </w:tc>
              <w:tc>
                <w:tcPr>
                  <w:tcW w:w="690"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0.5</w:t>
                  </w:r>
                </w:p>
              </w:tc>
              <w:tc>
                <w:tcPr>
                  <w:tcW w:w="1155"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1</w:t>
                  </w:r>
                </w:p>
              </w:tc>
            </w:tr>
          </w:tbl>
          <w:p>
            <w:pPr>
              <w:pStyle w:val="38"/>
              <w:snapToGrid w:val="0"/>
              <w:spacing w:before="0" w:beforeAutospacing="0" w:after="0" w:afterAutospacing="0" w:line="240" w:lineRule="auto"/>
              <w:jc w:val="both"/>
              <w:rPr>
                <w:rFonts w:hint="default" w:ascii="Times New Roman" w:hAnsi="Times New Roman" w:cs="Times New Roman"/>
                <w:b w:val="0"/>
                <w:bCs w:val="0"/>
                <w:color w:val="FF0000"/>
                <w:sz w:val="18"/>
                <w:szCs w:val="18"/>
                <w:lang w:val="en-US" w:eastAsia="zh-CN"/>
              </w:rPr>
            </w:pPr>
            <w:r>
              <w:rPr>
                <w:rFonts w:hint="eastAsia" w:ascii="Times New Roman" w:hAnsi="Times New Roman" w:cs="Times New Roman"/>
                <w:b w:val="0"/>
                <w:bCs w:val="0"/>
                <w:color w:val="FF0000"/>
                <w:sz w:val="18"/>
                <w:szCs w:val="18"/>
                <w:lang w:val="en-US" w:eastAsia="zh-CN"/>
              </w:rPr>
              <w:t>注：括号外数值为水温</w:t>
            </w:r>
            <w:r>
              <w:rPr>
                <w:rFonts w:hint="default" w:ascii="Times New Roman" w:hAnsi="Times New Roman" w:cs="Times New Roman"/>
                <w:b w:val="0"/>
                <w:bCs w:val="0"/>
                <w:color w:val="FF0000"/>
                <w:sz w:val="18"/>
                <w:szCs w:val="18"/>
                <w:lang w:val="en-US" w:eastAsia="zh-CN"/>
              </w:rPr>
              <w:t>&gt;</w:t>
            </w:r>
            <w:r>
              <w:rPr>
                <w:rFonts w:hint="eastAsia" w:ascii="Times New Roman" w:hAnsi="Times New Roman" w:cs="Times New Roman"/>
                <w:b w:val="0"/>
                <w:bCs w:val="0"/>
                <w:color w:val="FF0000"/>
                <w:sz w:val="18"/>
                <w:szCs w:val="18"/>
                <w:lang w:val="en-US" w:eastAsia="zh-CN"/>
              </w:rPr>
              <w:t>12℃时的控制指标，括号内数字为水温</w:t>
            </w:r>
            <w:r>
              <w:rPr>
                <w:rFonts w:hint="default" w:ascii="Arial" w:hAnsi="Arial" w:cs="Arial"/>
                <w:b w:val="0"/>
                <w:bCs w:val="0"/>
                <w:color w:val="FF0000"/>
                <w:sz w:val="18"/>
                <w:szCs w:val="18"/>
                <w:lang w:val="en-US" w:eastAsia="zh-CN"/>
              </w:rPr>
              <w:t>≤</w:t>
            </w:r>
            <w:r>
              <w:rPr>
                <w:rFonts w:hint="eastAsia" w:ascii="Times New Roman" w:hAnsi="Times New Roman" w:cs="Times New Roman"/>
                <w:b w:val="0"/>
                <w:bCs w:val="0"/>
                <w:color w:val="FF0000"/>
                <w:sz w:val="18"/>
                <w:szCs w:val="18"/>
                <w:lang w:val="en-US" w:eastAsia="zh-CN"/>
              </w:rPr>
              <w:t>12℃时的控制指标。</w:t>
            </w:r>
          </w:p>
          <w:p>
            <w:pPr>
              <w:pStyle w:val="38"/>
              <w:snapToGrid w:val="0"/>
              <w:spacing w:before="0" w:beforeAutospacing="0" w:after="0" w:afterAutospacing="0"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表3-9车辆清洗水回用标准</w:t>
            </w:r>
            <w:r>
              <w:rPr>
                <w:rFonts w:hint="eastAsia" w:ascii="Times New Roman" w:hAnsi="Times New Roman" w:eastAsia="宋体" w:cs="Times New Roman"/>
                <w:b/>
                <w:bCs/>
                <w:color w:val="auto"/>
                <w:kern w:val="0"/>
                <w:szCs w:val="21"/>
                <w:lang w:val="en-US" w:eastAsia="zh-CN"/>
              </w:rPr>
              <w:t>（单位：</w:t>
            </w:r>
            <w:r>
              <w:rPr>
                <w:rFonts w:hint="default" w:ascii="Times New Roman" w:hAnsi="Times New Roman" w:eastAsia="宋体" w:cs="Times New Roman"/>
                <w:b/>
                <w:bCs/>
                <w:color w:val="auto"/>
                <w:kern w:val="0"/>
                <w:szCs w:val="21"/>
                <w:lang w:val="en-US" w:eastAsia="zh-CN"/>
              </w:rPr>
              <w:t>mg/</w:t>
            </w:r>
            <w:r>
              <w:rPr>
                <w:rFonts w:hint="eastAsia" w:ascii="Times New Roman" w:hAnsi="Times New Roman" w:cs="Times New Roman"/>
                <w:b/>
                <w:bCs/>
                <w:color w:val="auto"/>
                <w:kern w:val="0"/>
                <w:szCs w:val="21"/>
                <w:lang w:val="en-US" w:eastAsia="zh-CN"/>
              </w:rPr>
              <w:t>L</w:t>
            </w:r>
            <w:r>
              <w:rPr>
                <w:rFonts w:hint="eastAsia" w:ascii="Times New Roman" w:hAnsi="Times New Roman" w:eastAsia="宋体" w:cs="Times New Roman"/>
                <w:b/>
                <w:bCs/>
                <w:color w:val="auto"/>
                <w:kern w:val="0"/>
                <w:szCs w:val="21"/>
                <w:lang w:val="en-US" w:eastAsia="zh-CN"/>
              </w:rPr>
              <w:t>）</w:t>
            </w:r>
          </w:p>
          <w:tbl>
            <w:tblPr>
              <w:tblStyle w:val="58"/>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0"/>
              <w:gridCol w:w="1059"/>
              <w:gridCol w:w="780"/>
              <w:gridCol w:w="744"/>
              <w:gridCol w:w="744"/>
              <w:gridCol w:w="936"/>
              <w:gridCol w:w="768"/>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0" w:type="dxa"/>
                  <w:vMerge w:val="restart"/>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标准</w:t>
                  </w:r>
                </w:p>
              </w:tc>
              <w:tc>
                <w:tcPr>
                  <w:tcW w:w="5865" w:type="dxa"/>
                  <w:gridSpan w:val="7"/>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评价标准值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0" w:type="dxa"/>
                  <w:vMerge w:val="continue"/>
                  <w:vAlign w:val="center"/>
                </w:tcPr>
                <w:p>
                  <w:pPr>
                    <w:adjustRightInd w:val="0"/>
                    <w:snapToGrid w:val="0"/>
                    <w:jc w:val="center"/>
                    <w:rPr>
                      <w:rFonts w:hint="default" w:ascii="Times New Roman" w:hAnsi="Times New Roman" w:eastAsia="宋体" w:cs="Times New Roman"/>
                      <w:color w:val="auto"/>
                      <w:szCs w:val="21"/>
                      <w:lang w:val="en-US" w:eastAsia="zh-CN" w:bidi="ar"/>
                    </w:rPr>
                  </w:pPr>
                </w:p>
              </w:tc>
              <w:tc>
                <w:tcPr>
                  <w:tcW w:w="1059"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COD</w:t>
                  </w:r>
                  <w:r>
                    <w:rPr>
                      <w:rFonts w:hint="eastAsia" w:ascii="Times New Roman" w:hAnsi="Times New Roman" w:eastAsia="宋体" w:cs="Times New Roman"/>
                      <w:color w:val="auto"/>
                      <w:szCs w:val="21"/>
                      <w:vertAlign w:val="subscript"/>
                      <w:lang w:val="en-US" w:eastAsia="zh-CN" w:bidi="ar"/>
                    </w:rPr>
                    <w:t>Cr</w:t>
                  </w:r>
                </w:p>
              </w:tc>
              <w:tc>
                <w:tcPr>
                  <w:tcW w:w="780"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BOD</w:t>
                  </w:r>
                  <w:r>
                    <w:rPr>
                      <w:rFonts w:hint="eastAsia" w:ascii="Times New Roman" w:hAnsi="Times New Roman" w:eastAsia="宋体" w:cs="Times New Roman"/>
                      <w:color w:val="auto"/>
                      <w:szCs w:val="21"/>
                      <w:vertAlign w:val="subscript"/>
                      <w:lang w:val="en-US" w:eastAsia="zh-CN" w:bidi="ar"/>
                    </w:rPr>
                    <w:t>5</w:t>
                  </w:r>
                </w:p>
              </w:tc>
              <w:tc>
                <w:tcPr>
                  <w:tcW w:w="744"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SS</w:t>
                  </w:r>
                </w:p>
              </w:tc>
              <w:tc>
                <w:tcPr>
                  <w:tcW w:w="744"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氨氮</w:t>
                  </w:r>
                </w:p>
              </w:tc>
              <w:tc>
                <w:tcPr>
                  <w:tcW w:w="936"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pH</w:t>
                  </w:r>
                </w:p>
              </w:tc>
              <w:tc>
                <w:tcPr>
                  <w:tcW w:w="768"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总氮</w:t>
                  </w:r>
                </w:p>
              </w:tc>
              <w:tc>
                <w:tcPr>
                  <w:tcW w:w="834"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0"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(GB/T18920-2020）车辆清洗用水</w:t>
                  </w:r>
                </w:p>
              </w:tc>
              <w:tc>
                <w:tcPr>
                  <w:tcW w:w="1059"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w:t>
                  </w:r>
                </w:p>
              </w:tc>
              <w:tc>
                <w:tcPr>
                  <w:tcW w:w="780"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10</w:t>
                  </w:r>
                </w:p>
              </w:tc>
              <w:tc>
                <w:tcPr>
                  <w:tcW w:w="744"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w:t>
                  </w:r>
                </w:p>
              </w:tc>
              <w:tc>
                <w:tcPr>
                  <w:tcW w:w="744"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5</w:t>
                  </w:r>
                </w:p>
              </w:tc>
              <w:tc>
                <w:tcPr>
                  <w:tcW w:w="936"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6~9</w:t>
                  </w:r>
                </w:p>
              </w:tc>
              <w:tc>
                <w:tcPr>
                  <w:tcW w:w="768"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w:t>
                  </w:r>
                </w:p>
              </w:tc>
              <w:tc>
                <w:tcPr>
                  <w:tcW w:w="834" w:type="dxa"/>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w:t>
                  </w:r>
                </w:p>
              </w:tc>
            </w:tr>
          </w:tbl>
          <w:p>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3、噪声</w:t>
            </w:r>
          </w:p>
          <w:p>
            <w:pPr>
              <w:adjustRightInd w:val="0"/>
              <w:snapToGrid w:val="0"/>
              <w:spacing w:line="360" w:lineRule="auto"/>
              <w:ind w:firstLine="480" w:firstLineChars="200"/>
              <w:rPr>
                <w:rFonts w:hint="eastAsia" w:ascii="Times New Roman" w:hAnsi="Times New Roman" w:eastAsia="宋体" w:cs="Times New Roman"/>
                <w:b/>
                <w:bCs/>
                <w:color w:val="auto"/>
                <w:kern w:val="0"/>
                <w:szCs w:val="21"/>
                <w:lang w:eastAsia="zh-CN"/>
              </w:rPr>
            </w:pPr>
            <w:r>
              <w:rPr>
                <w:rFonts w:hint="default" w:ascii="Times New Roman" w:hAnsi="Times New Roman" w:eastAsia="宋体" w:cs="Times New Roman"/>
                <w:color w:val="auto"/>
                <w:sz w:val="24"/>
              </w:rPr>
              <w:t>营运期厂界执行《工业企业厂界环境噪声排放标准》（GB12348-2008）中</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类标准</w:t>
            </w:r>
            <w:r>
              <w:rPr>
                <w:rFonts w:hint="eastAsia" w:ascii="Times New Roman" w:hAnsi="Times New Roman" w:eastAsia="宋体" w:cs="Times New Roman"/>
                <w:color w:val="auto"/>
                <w:sz w:val="24"/>
                <w:lang w:eastAsia="zh-CN"/>
              </w:rPr>
              <w:t>。</w:t>
            </w:r>
          </w:p>
          <w:p>
            <w:pPr>
              <w:tabs>
                <w:tab w:val="left" w:pos="3822"/>
              </w:tabs>
              <w:adjustRightInd w:val="0"/>
              <w:snapToGrid w:val="0"/>
              <w:spacing w:line="24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10</w:t>
            </w:r>
            <w:r>
              <w:rPr>
                <w:rFonts w:hint="default" w:ascii="Times New Roman" w:hAnsi="Times New Roman" w:eastAsia="宋体" w:cs="Times New Roman"/>
                <w:b/>
                <w:bCs/>
                <w:color w:val="auto"/>
                <w:kern w:val="0"/>
                <w:szCs w:val="21"/>
              </w:rPr>
              <w:t>工业企业厂界环境噪声排放限值一览表</w:t>
            </w:r>
            <w:r>
              <w:rPr>
                <w:rFonts w:hint="eastAsia" w:ascii="Times New Roman" w:hAnsi="Times New Roman" w:eastAsia="宋体" w:cs="Times New Roman"/>
                <w:b/>
                <w:bCs/>
                <w:color w:val="auto"/>
                <w:kern w:val="0"/>
                <w:szCs w:val="21"/>
                <w:lang w:val="en-US" w:eastAsia="zh-CN"/>
              </w:rPr>
              <w:t>（单位：dB（A））</w:t>
            </w:r>
          </w:p>
          <w:tbl>
            <w:tblPr>
              <w:tblStyle w:val="57"/>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1531"/>
              <w:gridCol w:w="1533"/>
              <w:gridCol w:w="4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755"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项目时段</w:t>
                  </w:r>
                </w:p>
              </w:tc>
              <w:tc>
                <w:tcPr>
                  <w:tcW w:w="1531"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bidi="ar"/>
                    </w:rPr>
                    <w:t>昼间</w:t>
                  </w:r>
                </w:p>
              </w:tc>
              <w:tc>
                <w:tcPr>
                  <w:tcW w:w="1533"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bidi="ar"/>
                    </w:rPr>
                    <w:t>夜间</w:t>
                  </w:r>
                </w:p>
              </w:tc>
              <w:tc>
                <w:tcPr>
                  <w:tcW w:w="4159"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bidi="ar"/>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755" w:type="dxa"/>
                  <w:vAlign w:val="center"/>
                </w:tcPr>
                <w:p>
                  <w:pPr>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运营期</w:t>
                  </w:r>
                </w:p>
              </w:tc>
              <w:tc>
                <w:tcPr>
                  <w:tcW w:w="1531" w:type="dxa"/>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65</w:t>
                  </w:r>
                </w:p>
              </w:tc>
              <w:tc>
                <w:tcPr>
                  <w:tcW w:w="1533" w:type="dxa"/>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55</w:t>
                  </w:r>
                </w:p>
              </w:tc>
              <w:tc>
                <w:tcPr>
                  <w:tcW w:w="4159" w:type="dxa"/>
                  <w:vAlign w:val="center"/>
                </w:tcPr>
                <w:p>
                  <w:pPr>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《工业企业厂界环境噪声排放标准》（GB12348-2008）</w:t>
                  </w:r>
                  <w:r>
                    <w:rPr>
                      <w:rFonts w:hint="eastAsia" w:ascii="Times New Roman" w:hAnsi="Times New Roman" w:eastAsia="宋体" w:cs="Times New Roman"/>
                      <w:color w:val="auto"/>
                      <w:szCs w:val="21"/>
                      <w:lang w:val="en-US" w:eastAsia="zh-CN" w:bidi="ar"/>
                    </w:rPr>
                    <w:t>3</w:t>
                  </w:r>
                  <w:r>
                    <w:rPr>
                      <w:rFonts w:hint="default" w:ascii="Times New Roman" w:hAnsi="Times New Roman" w:eastAsia="宋体" w:cs="Times New Roman"/>
                      <w:color w:val="auto"/>
                      <w:szCs w:val="21"/>
                      <w:lang w:bidi="ar"/>
                    </w:rPr>
                    <w:t>类排放标准</w:t>
                  </w:r>
                </w:p>
              </w:tc>
            </w:tr>
          </w:tbl>
          <w:p>
            <w:pPr>
              <w:adjustRightInd w:val="0"/>
              <w:snapToGrid w:val="0"/>
              <w:spacing w:before="120" w:beforeLines="50"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4、固废</w:t>
            </w:r>
          </w:p>
          <w:p>
            <w:pPr>
              <w:adjustRightInd w:val="0"/>
              <w:snapToGrid w:val="0"/>
              <w:spacing w:line="360" w:lineRule="auto"/>
              <w:ind w:firstLine="480" w:firstLineChars="200"/>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sz w:val="24"/>
              </w:rPr>
              <w:t>一般工业固体废物</w:t>
            </w:r>
            <w:r>
              <w:rPr>
                <w:rFonts w:hint="eastAsia" w:ascii="Times New Roman" w:hAnsi="Times New Roman" w:eastAsia="宋体" w:cs="Times New Roman"/>
                <w:color w:val="auto"/>
                <w:sz w:val="24"/>
                <w:lang w:eastAsia="zh-CN"/>
              </w:rPr>
              <w:t>储运过程</w:t>
            </w:r>
            <w:r>
              <w:rPr>
                <w:rFonts w:hint="default" w:ascii="Times New Roman" w:hAnsi="Times New Roman" w:eastAsia="宋体" w:cs="Times New Roman"/>
                <w:color w:val="auto"/>
                <w:sz w:val="24"/>
              </w:rPr>
              <w:t>的污染控制应满足相应防渗漏、防雨淋、防扬尘等环境保护要求</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FF0000"/>
                <w:sz w:val="24"/>
              </w:rPr>
              <w:t>危险废物执行《危险废物贮存污染控制标准》（GB18597-2023）</w:t>
            </w:r>
            <w:r>
              <w:rPr>
                <w:rFonts w:hint="default" w:ascii="Times New Roman" w:hAnsi="Times New Roman" w:eastAsia="宋体" w:cs="Times New Roman"/>
                <w:color w:val="FF0000"/>
                <w:sz w:val="24"/>
                <w:lang w:val="en-US" w:eastAsia="zh-CN"/>
              </w:rPr>
              <w:t>要求建设，危废间密闭，防风、防雨和防晒，地面做防腐、防渗处理</w:t>
            </w:r>
            <w:r>
              <w:rPr>
                <w:rFonts w:hint="eastAsia" w:ascii="Times New Roman" w:hAnsi="Times New Roman" w:eastAsia="宋体" w:cs="Times New Roman"/>
                <w:color w:val="FF0000"/>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控制</w:t>
            </w:r>
          </w:p>
          <w:p>
            <w:pPr>
              <w:adjustRightInd w:val="0"/>
              <w:snapToGrid w:val="0"/>
              <w:jc w:val="center"/>
              <w:rPr>
                <w:rFonts w:hint="default" w:ascii="Times New Roman" w:hAnsi="Times New Roman" w:eastAsia="宋体" w:cs="Times New Roman"/>
                <w:color w:val="FF0000"/>
                <w:kern w:val="0"/>
                <w:szCs w:val="21"/>
              </w:rPr>
            </w:pPr>
            <w:r>
              <w:rPr>
                <w:rFonts w:hint="default" w:ascii="Times New Roman" w:hAnsi="Times New Roman" w:eastAsia="宋体" w:cs="Times New Roman"/>
                <w:color w:val="auto"/>
                <w:kern w:val="0"/>
                <w:sz w:val="24"/>
                <w:szCs w:val="24"/>
              </w:rPr>
              <w:t>指标</w:t>
            </w:r>
          </w:p>
        </w:tc>
        <w:tc>
          <w:tcPr>
            <w:tcW w:w="9441"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根据《国务院关于印发“十四五”节能减排综合工作方案的通知》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国发</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33号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，确定各地区化学需氧量</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CODcr)、氨氮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-N)、氮氧化物</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NOx)、挥发性有机物（VOC）等排放实施总量控制。</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一、废水总量：本项目员工</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人，年工作时间3</w:t>
            </w:r>
            <w:r>
              <w:rPr>
                <w:rFonts w:hint="eastAsia"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val="en-US" w:eastAsia="zh-CN"/>
              </w:rPr>
              <w:t>天，每人每天用水按照</w:t>
            </w:r>
            <w:r>
              <w:rPr>
                <w:rFonts w:hint="eastAsia"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lang w:val="en-US" w:eastAsia="zh-CN"/>
              </w:rPr>
              <w:t>L/d计，产污系数取0.8，即生活污水</w:t>
            </w:r>
            <w:r>
              <w:rPr>
                <w:rFonts w:hint="eastAsia" w:ascii="Times New Roman" w:hAnsi="Times New Roman" w:eastAsia="宋体" w:cs="Times New Roman"/>
                <w:color w:val="auto"/>
                <w:sz w:val="24"/>
                <w:szCs w:val="24"/>
                <w:lang w:val="en-US" w:eastAsia="zh-CN"/>
              </w:rPr>
              <w:t>产生</w:t>
            </w:r>
            <w:r>
              <w:rPr>
                <w:rFonts w:hint="default" w:ascii="Times New Roman" w:hAnsi="Times New Roman" w:eastAsia="宋体" w:cs="Times New Roman"/>
                <w:color w:val="auto"/>
                <w:sz w:val="24"/>
                <w:szCs w:val="24"/>
                <w:lang w:val="en-US" w:eastAsia="zh-CN"/>
              </w:rPr>
              <w:t>量为</w:t>
            </w:r>
            <w:r>
              <w:rPr>
                <w:rFonts w:hint="eastAsia" w:ascii="Times New Roman" w:hAnsi="Times New Roman" w:eastAsia="宋体" w:cs="Times New Roman"/>
                <w:color w:val="auto"/>
                <w:sz w:val="24"/>
                <w:szCs w:val="24"/>
                <w:lang w:val="en-US" w:eastAsia="zh-CN"/>
              </w:rPr>
              <w:t>360</w:t>
            </w:r>
            <w:r>
              <w:rPr>
                <w:rFonts w:hint="default" w:ascii="Times New Roman" w:hAnsi="Times New Roman" w:eastAsia="宋体" w:cs="Times New Roman"/>
                <w:color w:val="auto"/>
                <w:sz w:val="24"/>
                <w:szCs w:val="24"/>
                <w:lang w:val="en-US" w:eastAsia="zh-CN"/>
              </w:rPr>
              <w:t>t/a。经</w:t>
            </w:r>
            <w:r>
              <w:rPr>
                <w:rFonts w:hint="eastAsia" w:ascii="Times New Roman" w:hAnsi="Times New Roman" w:eastAsia="宋体" w:cs="Times New Roman"/>
                <w:color w:val="auto"/>
                <w:sz w:val="24"/>
                <w:szCs w:val="24"/>
                <w:lang w:val="en-US" w:eastAsia="zh-CN"/>
              </w:rPr>
              <w:t>隔油池+</w:t>
            </w:r>
            <w:r>
              <w:rPr>
                <w:rFonts w:hint="default" w:ascii="Times New Roman" w:hAnsi="Times New Roman" w:eastAsia="宋体" w:cs="Times New Roman"/>
                <w:color w:val="auto"/>
                <w:sz w:val="24"/>
                <w:szCs w:val="24"/>
                <w:lang w:val="en-US" w:eastAsia="zh-CN"/>
              </w:rPr>
              <w:t>化粪池</w:t>
            </w:r>
            <w:r>
              <w:rPr>
                <w:rFonts w:hint="eastAsia" w:ascii="Times New Roman" w:hAnsi="Times New Roman" w:eastAsia="宋体" w:cs="Times New Roman"/>
                <w:color w:val="auto"/>
                <w:sz w:val="24"/>
                <w:szCs w:val="24"/>
                <w:lang w:val="en-US" w:eastAsia="zh-CN"/>
              </w:rPr>
              <w:t>预</w:t>
            </w:r>
            <w:r>
              <w:rPr>
                <w:rFonts w:hint="default" w:ascii="Times New Roman" w:hAnsi="Times New Roman" w:eastAsia="宋体" w:cs="Times New Roman"/>
                <w:color w:val="auto"/>
                <w:sz w:val="24"/>
                <w:szCs w:val="24"/>
                <w:lang w:val="en-US" w:eastAsia="zh-CN"/>
              </w:rPr>
              <w:t>处理</w:t>
            </w:r>
            <w:r>
              <w:rPr>
                <w:rFonts w:hint="eastAsia" w:ascii="Times New Roman" w:hAnsi="Times New Roman" w:eastAsia="宋体" w:cs="Times New Roman"/>
                <w:color w:val="auto"/>
                <w:sz w:val="24"/>
                <w:szCs w:val="24"/>
                <w:lang w:val="en-US" w:eastAsia="zh-CN"/>
              </w:rPr>
              <w:t>后通过生活区排口进园区污水管网入高新技术产业园污水处理厂深度处理达《城镇污水处理厂污染物排放标准》（GB18918-2002）一级A标准后外排南潦河</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进入高新技术产业园污水处理厂</w:t>
            </w:r>
            <w:r>
              <w:rPr>
                <w:rFonts w:hint="eastAsia" w:ascii="Times New Roman" w:hAnsi="Times New Roman" w:eastAsia="宋体" w:cs="Times New Roman"/>
                <w:color w:val="auto"/>
                <w:sz w:val="24"/>
                <w:szCs w:val="24"/>
                <w:lang w:val="en-US" w:eastAsia="zh-CN"/>
              </w:rPr>
              <w:t>CODcr浓度为193.6</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lang w:val="en-US" w:eastAsia="zh-CN"/>
              </w:rPr>
              <w:t>浓度为</w:t>
            </w:r>
            <w:r>
              <w:rPr>
                <w:rFonts w:hint="eastAsia" w:ascii="Times New Roman" w:hAnsi="Times New Roman" w:eastAsia="宋体" w:cs="Times New Roman"/>
                <w:color w:val="auto"/>
                <w:sz w:val="24"/>
                <w:szCs w:val="24"/>
                <w:lang w:val="en-US" w:eastAsia="zh-CN"/>
              </w:rPr>
              <w:t>20.75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p>
          <w:p>
            <w:pPr>
              <w:numPr>
                <w:ilvl w:val="0"/>
                <w:numId w:val="0"/>
              </w:numPr>
              <w:adjustRightInd w:val="0"/>
              <w:snapToGrid w:val="0"/>
              <w:spacing w:line="360" w:lineRule="auto"/>
              <w:ind w:firstLine="480" w:firstLineChars="200"/>
              <w:rPr>
                <w:rFonts w:hint="eastAsia" w:ascii="Times New Roman" w:hAnsi="Times New Roman" w:eastAsia="宋体" w:cs="Times New Roman"/>
                <w:bCs w:val="0"/>
                <w:color w:val="auto"/>
                <w:sz w:val="24"/>
                <w:szCs w:val="24"/>
                <w:lang w:val="en-US" w:eastAsia="zh-CN"/>
              </w:rPr>
            </w:pPr>
            <w:r>
              <w:rPr>
                <w:rFonts w:hint="eastAsia" w:ascii="Times New Roman" w:hAnsi="Times New Roman" w:eastAsia="宋体" w:cs="Times New Roman"/>
                <w:bCs w:val="0"/>
                <w:color w:val="auto"/>
                <w:sz w:val="24"/>
                <w:szCs w:val="24"/>
                <w:lang w:val="en-US" w:eastAsia="zh-CN"/>
              </w:rPr>
              <w:t>项目原料运输车辆通过陆丰管业厂区道路进出生产厂房过程中会产生车辆扬尘，为减少车辆扬尘排放量，陆丰管业厂区道路每天进行洒水抑尘。道路洒水抑尘量按照2.5m</w:t>
            </w:r>
            <w:r>
              <w:rPr>
                <w:rFonts w:hint="eastAsia" w:ascii="Times New Roman" w:hAnsi="Times New Roman" w:eastAsia="宋体" w:cs="Times New Roman"/>
                <w:bCs w:val="0"/>
                <w:color w:val="auto"/>
                <w:sz w:val="24"/>
                <w:szCs w:val="24"/>
                <w:vertAlign w:val="superscript"/>
                <w:lang w:val="en-US" w:eastAsia="zh-CN"/>
              </w:rPr>
              <w:t>3</w:t>
            </w:r>
            <w:r>
              <w:rPr>
                <w:rFonts w:hint="eastAsia" w:ascii="Times New Roman" w:hAnsi="Times New Roman" w:eastAsia="宋体" w:cs="Times New Roman"/>
                <w:bCs w:val="0"/>
                <w:color w:val="auto"/>
                <w:sz w:val="24"/>
                <w:szCs w:val="24"/>
                <w:lang w:val="en-US" w:eastAsia="zh-CN"/>
              </w:rPr>
              <w:t>/d计算。项目陆丰管业厂区道路洒水抑尘用水全部蒸发，不外排。</w:t>
            </w:r>
          </w:p>
          <w:p>
            <w:pPr>
              <w:numPr>
                <w:ilvl w:val="0"/>
                <w:numId w:val="0"/>
              </w:numPr>
              <w:adjustRightInd w:val="0"/>
              <w:snapToGrid w:val="0"/>
              <w:spacing w:line="360" w:lineRule="auto"/>
              <w:ind w:firstLine="480" w:firstLineChars="200"/>
              <w:rPr>
                <w:rFonts w:hint="eastAsia" w:ascii="Times New Roman" w:hAnsi="Times New Roman" w:eastAsia="宋体" w:cs="Times New Roman"/>
                <w:bCs w:val="0"/>
                <w:color w:val="auto"/>
                <w:sz w:val="24"/>
                <w:szCs w:val="24"/>
                <w:lang w:val="en-US" w:eastAsia="zh-CN"/>
              </w:rPr>
            </w:pPr>
            <w:r>
              <w:rPr>
                <w:rFonts w:hint="eastAsia" w:ascii="Times New Roman" w:hAnsi="Times New Roman" w:eastAsia="宋体" w:cs="Times New Roman"/>
                <w:bCs w:val="0"/>
                <w:color w:val="auto"/>
                <w:sz w:val="24"/>
                <w:szCs w:val="24"/>
                <w:lang w:val="en-US" w:eastAsia="zh-CN"/>
              </w:rPr>
              <w:t>项目洗车池每天冲洗车辆次数为57次，每次冲洗水量约为20L，产污系数取0.8，则车辆冲洗水产生量0.912t/a（273.6t/a），车辆冲洗水经沉淀池处理后循环使用，不外排。仅需定期补水0.228t/d。</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故本项目废水排放总量指标计算如下：</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CODcr</w:t>
            </w:r>
            <w:r>
              <w:rPr>
                <w:rFonts w:hint="default" w:ascii="Times New Roman" w:hAnsi="Times New Roman" w:eastAsia="宋体" w:cs="Times New Roman"/>
                <w:color w:val="auto"/>
                <w:sz w:val="24"/>
                <w:szCs w:val="24"/>
                <w:lang w:val="en-US" w:eastAsia="zh-CN"/>
              </w:rPr>
              <w:t>总量</w:t>
            </w:r>
            <w:r>
              <w:rPr>
                <w:rFonts w:hint="eastAsia" w:ascii="Times New Roman" w:hAnsi="Times New Roman" w:eastAsia="宋体" w:cs="Times New Roman"/>
                <w:color w:val="auto"/>
                <w:sz w:val="24"/>
                <w:szCs w:val="24"/>
                <w:lang w:val="en-US" w:eastAsia="zh-CN"/>
              </w:rPr>
              <w:t>考核</w:t>
            </w:r>
            <w:r>
              <w:rPr>
                <w:rFonts w:hint="default" w:ascii="Times New Roman" w:hAnsi="Times New Roman" w:eastAsia="宋体" w:cs="Times New Roman"/>
                <w:color w:val="auto"/>
                <w:sz w:val="24"/>
                <w:szCs w:val="24"/>
                <w:lang w:val="en-US" w:eastAsia="zh-CN"/>
              </w:rPr>
              <w:t>指标为</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360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193.6</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-6</w:t>
            </w:r>
            <w:r>
              <w:rPr>
                <w:rFonts w:hint="eastAsia" w:ascii="Times New Roman" w:hAnsi="Times New Roman" w:eastAsia="宋体" w:cs="Times New Roman"/>
                <w:color w:val="auto"/>
                <w:sz w:val="24"/>
                <w:szCs w:val="24"/>
                <w:lang w:val="en-US" w:eastAsia="zh-CN"/>
              </w:rPr>
              <w:t>=0.07t/a</w:t>
            </w:r>
            <w:r>
              <w:rPr>
                <w:rFonts w:hint="default" w:ascii="Times New Roman" w:hAnsi="Times New Roman" w:eastAsia="宋体" w:cs="Times New Roman"/>
                <w:color w:val="auto"/>
                <w:sz w:val="24"/>
                <w:szCs w:val="24"/>
              </w:rPr>
              <w:t>；</w:t>
            </w:r>
          </w:p>
          <w:p>
            <w:pPr>
              <w:pStyle w:val="75"/>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vertAlign w:val="baseline"/>
                <w:lang w:val="en-US" w:eastAsia="zh-CN"/>
              </w:rPr>
              <w:t>-N总量</w:t>
            </w:r>
            <w:r>
              <w:rPr>
                <w:rFonts w:hint="eastAsia" w:ascii="Times New Roman" w:hAnsi="Times New Roman" w:eastAsia="宋体" w:cs="Times New Roman"/>
                <w:color w:val="auto"/>
                <w:sz w:val="24"/>
                <w:szCs w:val="24"/>
                <w:vertAlign w:val="baseline"/>
                <w:lang w:val="en-US" w:eastAsia="zh-CN"/>
              </w:rPr>
              <w:t>考核</w:t>
            </w:r>
            <w:r>
              <w:rPr>
                <w:rFonts w:hint="default" w:ascii="Times New Roman" w:hAnsi="Times New Roman" w:eastAsia="宋体" w:cs="Times New Roman"/>
                <w:color w:val="auto"/>
                <w:sz w:val="24"/>
                <w:szCs w:val="24"/>
                <w:vertAlign w:val="baseline"/>
                <w:lang w:val="en-US" w:eastAsia="zh-CN"/>
              </w:rPr>
              <w:t>指标为：</w:t>
            </w:r>
            <w:r>
              <w:rPr>
                <w:rFonts w:hint="eastAsia" w:ascii="Times New Roman" w:hAnsi="Times New Roman" w:eastAsia="宋体" w:cs="Times New Roman"/>
                <w:color w:val="auto"/>
                <w:sz w:val="24"/>
                <w:szCs w:val="24"/>
                <w:lang w:val="en-US" w:eastAsia="zh-CN"/>
              </w:rPr>
              <w:t>360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20.75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-6</w:t>
            </w:r>
            <w:r>
              <w:rPr>
                <w:rFonts w:hint="eastAsia" w:ascii="Times New Roman" w:hAnsi="Times New Roman" w:eastAsia="宋体" w:cs="Times New Roman"/>
                <w:color w:val="auto"/>
                <w:sz w:val="24"/>
                <w:szCs w:val="24"/>
                <w:lang w:val="en-US" w:eastAsia="zh-CN"/>
              </w:rPr>
              <w:t>=0.008t/a</w:t>
            </w:r>
            <w:r>
              <w:rPr>
                <w:rFonts w:hint="default" w:ascii="Times New Roman" w:hAnsi="Times New Roman" w:eastAsia="宋体" w:cs="Times New Roman"/>
                <w:color w:val="auto"/>
                <w:sz w:val="24"/>
                <w:szCs w:val="24"/>
                <w:vertAlign w:val="baseline"/>
                <w:lang w:val="en-US" w:eastAsia="zh-CN"/>
              </w:rPr>
              <w:t>；</w:t>
            </w:r>
          </w:p>
          <w:p>
            <w:pPr>
              <w:pStyle w:val="75"/>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生活污水经高新技术产业园区污水处理厂</w:t>
            </w:r>
            <w:r>
              <w:rPr>
                <w:rFonts w:hint="eastAsia" w:ascii="Times New Roman" w:hAnsi="Times New Roman" w:eastAsia="宋体" w:cs="Times New Roman"/>
                <w:color w:val="auto"/>
                <w:sz w:val="24"/>
                <w:szCs w:val="24"/>
                <w:vertAlign w:val="baseline"/>
                <w:lang w:val="en-US" w:eastAsia="zh-CN"/>
              </w:rPr>
              <w:t>深度处理后总量控制指标为：</w:t>
            </w:r>
          </w:p>
          <w:p>
            <w:pPr>
              <w:pStyle w:val="75"/>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CODcr总量控制指标为：</w:t>
            </w:r>
            <w:r>
              <w:rPr>
                <w:rFonts w:hint="eastAsia" w:ascii="Times New Roman" w:hAnsi="Times New Roman" w:cs="Times New Roman"/>
                <w:color w:val="auto"/>
                <w:sz w:val="24"/>
                <w:szCs w:val="24"/>
                <w:vertAlign w:val="baseline"/>
                <w:lang w:val="en-US" w:eastAsia="zh-CN"/>
              </w:rPr>
              <w:t>360</w:t>
            </w:r>
            <w:r>
              <w:rPr>
                <w:rFonts w:hint="default" w:ascii="Times New Roman" w:hAnsi="Times New Roman" w:eastAsia="宋体" w:cs="Times New Roman"/>
                <w:color w:val="auto"/>
                <w:sz w:val="24"/>
                <w:szCs w:val="24"/>
                <w:vertAlign w:val="baseline"/>
                <w:lang w:val="en-US" w:eastAsia="zh-CN"/>
              </w:rPr>
              <w:t>×50×10</w:t>
            </w:r>
            <w:r>
              <w:rPr>
                <w:rFonts w:hint="default" w:ascii="Times New Roman" w:hAnsi="Times New Roman" w:eastAsia="宋体" w:cs="Times New Roman"/>
                <w:color w:val="auto"/>
                <w:sz w:val="24"/>
                <w:szCs w:val="24"/>
                <w:vertAlign w:val="superscript"/>
                <w:lang w:val="en-US" w:eastAsia="zh-CN"/>
              </w:rPr>
              <w:t>-6</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0.</w:t>
            </w:r>
            <w:r>
              <w:rPr>
                <w:rFonts w:hint="eastAsia" w:ascii="Times New Roman" w:hAnsi="Times New Roman" w:cs="Times New Roman"/>
                <w:color w:val="auto"/>
                <w:sz w:val="24"/>
                <w:szCs w:val="24"/>
                <w:vertAlign w:val="baseline"/>
                <w:lang w:val="en-US" w:eastAsia="zh-CN"/>
              </w:rPr>
              <w:t>018</w:t>
            </w:r>
            <w:r>
              <w:rPr>
                <w:rFonts w:hint="default" w:ascii="Times New Roman" w:hAnsi="Times New Roman" w:eastAsia="宋体" w:cs="Times New Roman"/>
                <w:color w:val="auto"/>
                <w:sz w:val="24"/>
                <w:szCs w:val="24"/>
                <w:vertAlign w:val="baseline"/>
                <w:lang w:val="en-US" w:eastAsia="zh-CN"/>
              </w:rPr>
              <w:t>t/a；</w:t>
            </w:r>
          </w:p>
          <w:p>
            <w:pPr>
              <w:pStyle w:val="75"/>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NH3-N总量控制指标为：</w:t>
            </w:r>
            <w:r>
              <w:rPr>
                <w:rFonts w:hint="eastAsia" w:ascii="Times New Roman" w:hAnsi="Times New Roman" w:cs="Times New Roman"/>
                <w:color w:val="auto"/>
                <w:sz w:val="24"/>
                <w:szCs w:val="24"/>
                <w:vertAlign w:val="baseline"/>
                <w:lang w:val="en-US" w:eastAsia="zh-CN"/>
              </w:rPr>
              <w:t>360</w:t>
            </w:r>
            <w:r>
              <w:rPr>
                <w:rFonts w:hint="default" w:ascii="Times New Roman" w:hAnsi="Times New Roman" w:eastAsia="宋体" w:cs="Times New Roman"/>
                <w:color w:val="auto"/>
                <w:sz w:val="24"/>
                <w:szCs w:val="24"/>
                <w:vertAlign w:val="baseline"/>
                <w:lang w:val="en-US" w:eastAsia="zh-CN"/>
              </w:rPr>
              <w:t>×5×10</w:t>
            </w:r>
            <w:r>
              <w:rPr>
                <w:rFonts w:hint="default" w:ascii="Times New Roman" w:hAnsi="Times New Roman" w:eastAsia="宋体" w:cs="Times New Roman"/>
                <w:color w:val="auto"/>
                <w:sz w:val="24"/>
                <w:szCs w:val="24"/>
                <w:vertAlign w:val="superscript"/>
                <w:lang w:val="en-US" w:eastAsia="zh-CN"/>
              </w:rPr>
              <w:t>-6</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0.0</w:t>
            </w:r>
            <w:r>
              <w:rPr>
                <w:rFonts w:hint="eastAsia" w:ascii="Times New Roman" w:hAnsi="Times New Roman" w:cs="Times New Roman"/>
                <w:color w:val="auto"/>
                <w:sz w:val="24"/>
                <w:szCs w:val="24"/>
                <w:vertAlign w:val="baseline"/>
                <w:lang w:val="en-US" w:eastAsia="zh-CN"/>
              </w:rPr>
              <w:t>02</w:t>
            </w:r>
            <w:r>
              <w:rPr>
                <w:rFonts w:hint="default" w:ascii="Times New Roman" w:hAnsi="Times New Roman" w:eastAsia="宋体" w:cs="Times New Roman"/>
                <w:color w:val="auto"/>
                <w:sz w:val="24"/>
                <w:szCs w:val="24"/>
                <w:vertAlign w:val="baseline"/>
                <w:lang w:val="en-US" w:eastAsia="zh-CN"/>
              </w:rPr>
              <w:t>t/a；</w:t>
            </w:r>
          </w:p>
          <w:p>
            <w:pPr>
              <w:adjustRightInd w:val="0"/>
              <w:snapToGrid w:val="0"/>
              <w:spacing w:line="360" w:lineRule="auto"/>
              <w:ind w:firstLine="480" w:firstLineChars="200"/>
              <w:rPr>
                <w:rFonts w:hint="default"/>
                <w:color w:val="auto"/>
                <w:lang w:val="en-US" w:eastAsia="zh-CN"/>
              </w:rPr>
            </w:pPr>
            <w:r>
              <w:rPr>
                <w:rFonts w:hint="eastAsia" w:ascii="Times New Roman" w:hAnsi="Times New Roman" w:eastAsia="宋体" w:cs="Times New Roman"/>
                <w:color w:val="auto"/>
                <w:sz w:val="24"/>
                <w:szCs w:val="24"/>
                <w:lang w:val="en-US" w:eastAsia="zh-CN"/>
              </w:rPr>
              <w:t>本项目废水总量考核指标：CODcr为0.07t/a，</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0.008t/a；废水总量控制指标为：CODcr为0.018t/a，</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0.002t/a。</w:t>
            </w:r>
          </w:p>
          <w:p>
            <w:pPr>
              <w:numPr>
                <w:ilvl w:val="0"/>
                <w:numId w:val="0"/>
              </w:numPr>
              <w:adjustRightInd w:val="0"/>
              <w:snapToGrid w:val="0"/>
              <w:spacing w:line="360" w:lineRule="auto"/>
              <w:ind w:firstLine="480" w:firstLineChars="200"/>
              <w:rPr>
                <w:rFonts w:hint="default" w:ascii="Times New Roman" w:hAnsi="Times New Roman" w:eastAsia="宋体" w:cs="Times New Roman"/>
                <w:bCs w:val="0"/>
                <w:color w:val="auto"/>
                <w:sz w:val="24"/>
                <w:szCs w:val="24"/>
                <w:lang w:val="en-US" w:eastAsia="zh-CN"/>
              </w:rPr>
            </w:pPr>
            <w:r>
              <w:rPr>
                <w:rFonts w:hint="eastAsia" w:ascii="Times New Roman" w:hAnsi="Times New Roman" w:eastAsia="宋体" w:cs="Times New Roman"/>
                <w:bCs w:val="0"/>
                <w:color w:val="auto"/>
                <w:sz w:val="24"/>
                <w:szCs w:val="24"/>
                <w:lang w:val="en-US" w:eastAsia="zh-CN"/>
              </w:rPr>
              <w:t>二、</w:t>
            </w:r>
            <w:r>
              <w:rPr>
                <w:rFonts w:hint="default" w:ascii="Times New Roman" w:hAnsi="Times New Roman" w:eastAsia="宋体" w:cs="Times New Roman"/>
                <w:bCs w:val="0"/>
                <w:color w:val="auto"/>
                <w:sz w:val="24"/>
                <w:szCs w:val="24"/>
                <w:lang w:val="en-US" w:eastAsia="zh-CN"/>
              </w:rPr>
              <w:t>废气总量：</w:t>
            </w:r>
          </w:p>
          <w:p>
            <w:pPr>
              <w:numPr>
                <w:ilvl w:val="0"/>
                <w:numId w:val="0"/>
              </w:numPr>
              <w:adjustRightInd w:val="0"/>
              <w:snapToGrid w:val="0"/>
              <w:spacing w:line="360" w:lineRule="auto"/>
              <w:ind w:firstLine="480" w:firstLineChars="200"/>
              <w:rPr>
                <w:rFonts w:hint="default"/>
                <w:color w:val="auto"/>
                <w:lang w:val="en-US" w:eastAsia="zh-CN"/>
              </w:rPr>
            </w:pPr>
            <w:r>
              <w:rPr>
                <w:rFonts w:hint="eastAsia" w:ascii="Times New Roman" w:hAnsi="Times New Roman" w:eastAsia="宋体" w:cs="Times New Roman"/>
                <w:bCs w:val="0"/>
                <w:color w:val="auto"/>
                <w:sz w:val="24"/>
                <w:szCs w:val="24"/>
                <w:lang w:val="en-US" w:eastAsia="zh-CN"/>
              </w:rPr>
              <w:t>本项目生产过程中无</w:t>
            </w:r>
            <w:r>
              <w:rPr>
                <w:rFonts w:hint="default" w:ascii="Times New Roman" w:hAnsi="Times New Roman" w:eastAsia="宋体" w:cs="Times New Roman"/>
                <w:color w:val="auto"/>
                <w:sz w:val="24"/>
                <w:szCs w:val="24"/>
              </w:rPr>
              <w:t>NOx</w:t>
            </w:r>
            <w:r>
              <w:rPr>
                <w:rFonts w:hint="eastAsia" w:ascii="Times New Roman" w:hAnsi="Times New Roman" w:eastAsia="宋体" w:cs="Times New Roman"/>
                <w:bCs w:val="0"/>
                <w:color w:val="auto"/>
                <w:sz w:val="24"/>
                <w:szCs w:val="24"/>
                <w:lang w:val="en-US" w:eastAsia="zh-CN"/>
              </w:rPr>
              <w:t>、</w:t>
            </w:r>
            <w:r>
              <w:rPr>
                <w:rFonts w:hint="eastAsia" w:ascii="Times New Roman" w:hAnsi="Times New Roman" w:cs="Times New Roman"/>
                <w:bCs w:val="0"/>
                <w:color w:val="auto"/>
                <w:sz w:val="24"/>
                <w:szCs w:val="24"/>
                <w:vertAlign w:val="baseline"/>
                <w:lang w:val="en-US" w:eastAsia="zh-CN"/>
              </w:rPr>
              <w:t>SO</w:t>
            </w:r>
            <w:r>
              <w:rPr>
                <w:rFonts w:hint="eastAsia" w:ascii="Times New Roman" w:hAnsi="Times New Roman" w:cs="Times New Roman"/>
                <w:bCs w:val="0"/>
                <w:color w:val="auto"/>
                <w:sz w:val="24"/>
                <w:szCs w:val="24"/>
                <w:vertAlign w:val="subscript"/>
                <w:lang w:val="en-US" w:eastAsia="zh-CN"/>
              </w:rPr>
              <w:t>2</w:t>
            </w:r>
            <w:r>
              <w:rPr>
                <w:rFonts w:hint="eastAsia" w:ascii="Times New Roman" w:hAnsi="Times New Roman" w:cs="Times New Roman"/>
                <w:bCs w:val="0"/>
                <w:color w:val="auto"/>
                <w:sz w:val="24"/>
                <w:szCs w:val="24"/>
                <w:vertAlign w:val="baseline"/>
                <w:lang w:val="en-US" w:eastAsia="zh-CN"/>
              </w:rPr>
              <w:t>及VOCs污染物产生</w:t>
            </w:r>
            <w:r>
              <w:rPr>
                <w:rFonts w:hint="eastAsia" w:ascii="Times New Roman" w:hAnsi="Times New Roman" w:eastAsia="宋体" w:cs="Times New Roman"/>
                <w:color w:val="auto"/>
                <w:sz w:val="24"/>
                <w:szCs w:val="24"/>
                <w:lang w:val="en-US" w:eastAsia="zh-CN"/>
              </w:rPr>
              <w:t>。故无需申请废气排放总量。</w:t>
            </w:r>
          </w:p>
          <w:p>
            <w:pPr>
              <w:adjustRightInd w:val="0"/>
              <w:snapToGrid w:val="0"/>
              <w:spacing w:line="360" w:lineRule="auto"/>
              <w:ind w:firstLine="480" w:firstLineChars="200"/>
              <w:rPr>
                <w:rFonts w:hint="default" w:ascii="Times New Roman" w:hAnsi="Times New Roman" w:eastAsia="宋体" w:cs="Times New Roman"/>
                <w:snapToGrid w:val="0"/>
                <w:color w:val="FF0000"/>
                <w:kern w:val="0"/>
              </w:rPr>
            </w:pPr>
            <w:r>
              <w:rPr>
                <w:rFonts w:hint="eastAsia" w:ascii="Times New Roman" w:hAnsi="Times New Roman" w:eastAsia="宋体" w:cs="Times New Roman"/>
                <w:color w:val="auto"/>
                <w:sz w:val="24"/>
                <w:szCs w:val="24"/>
                <w:lang w:eastAsia="zh-CN"/>
              </w:rPr>
              <w:t>则</w:t>
            </w: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废水</w:t>
            </w:r>
            <w:r>
              <w:rPr>
                <w:rFonts w:hint="default" w:ascii="Times New Roman" w:hAnsi="Times New Roman" w:eastAsia="宋体" w:cs="Times New Roman"/>
                <w:color w:val="auto"/>
                <w:sz w:val="24"/>
                <w:szCs w:val="24"/>
              </w:rPr>
              <w:t>总量控制指标</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CODcr为0.018t/a，</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0.002t/a。</w:t>
            </w:r>
          </w:p>
        </w:tc>
      </w:tr>
    </w:tbl>
    <w:p>
      <w:pPr>
        <w:pStyle w:val="2"/>
        <w:spacing w:line="360" w:lineRule="auto"/>
        <w:jc w:val="center"/>
        <w:rPr>
          <w:rFonts w:hint="default" w:ascii="Times New Roman" w:hAnsi="Times New Roman" w:eastAsia="宋体" w:cs="Times New Roman"/>
          <w:b w:val="0"/>
          <w:bCs/>
          <w:snapToGrid w:val="0"/>
          <w:color w:val="FF0000"/>
          <w:sz w:val="30"/>
          <w:szCs w:val="3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sectPr>
      </w:pPr>
    </w:p>
    <w:p>
      <w:pPr>
        <w:pStyle w:val="2"/>
        <w:spacing w:line="360" w:lineRule="auto"/>
        <w:jc w:val="center"/>
        <w:rPr>
          <w:rFonts w:hint="default" w:ascii="Times New Roman" w:hAnsi="Times New Roman" w:eastAsia="宋体" w:cs="Times New Roman"/>
          <w:b w:val="0"/>
          <w:bCs/>
          <w:snapToGrid w:val="0"/>
          <w:color w:val="auto"/>
          <w:kern w:val="0"/>
          <w:sz w:val="30"/>
          <w:szCs w:val="30"/>
        </w:rPr>
      </w:pPr>
      <w:bookmarkStart w:id="10" w:name="_Toc19013"/>
      <w:r>
        <w:rPr>
          <w:rFonts w:hint="default" w:ascii="Times New Roman" w:hAnsi="Times New Roman" w:eastAsia="宋体" w:cs="Times New Roman"/>
          <w:b w:val="0"/>
          <w:bCs/>
          <w:snapToGrid w:val="0"/>
          <w:color w:val="auto"/>
          <w:sz w:val="30"/>
          <w:szCs w:val="30"/>
        </w:rPr>
        <w:t>四、主要环境影响和保护措施</w:t>
      </w:r>
      <w:bookmarkEnd w:id="10"/>
    </w:p>
    <w:tbl>
      <w:tblPr>
        <w:tblStyle w:val="382"/>
        <w:tblW w:w="13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9" w:hRule="atLeast"/>
        </w:trPr>
        <w:tc>
          <w:tcPr>
            <w:tcW w:w="981" w:type="dxa"/>
            <w:vAlign w:val="center"/>
          </w:tcPr>
          <w:p>
            <w:pPr>
              <w:pStyle w:val="38"/>
              <w:adjustRightInd w:val="0"/>
              <w:snapToGrid w:val="0"/>
              <w:spacing w:before="0" w:beforeAutospacing="0" w:after="0" w:afterAutospacing="0"/>
              <w:jc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color w:val="auto"/>
                <w:szCs w:val="24"/>
              </w:rPr>
              <w:t>施工期环境</w:t>
            </w:r>
            <w:r>
              <w:rPr>
                <w:rFonts w:hint="default" w:ascii="Times New Roman" w:hAnsi="Times New Roman" w:eastAsia="宋体" w:cs="Times New Roman"/>
                <w:color w:val="auto"/>
                <w:szCs w:val="24"/>
                <w:lang w:eastAsia="zh-CN"/>
              </w:rPr>
              <w:t>保护</w:t>
            </w:r>
            <w:r>
              <w:rPr>
                <w:rFonts w:hint="default" w:ascii="Times New Roman" w:hAnsi="Times New Roman" w:eastAsia="宋体" w:cs="Times New Roman"/>
                <w:color w:val="auto"/>
                <w:szCs w:val="24"/>
              </w:rPr>
              <w:t>措施</w:t>
            </w:r>
          </w:p>
        </w:tc>
        <w:tc>
          <w:tcPr>
            <w:tcW w:w="12021" w:type="dxa"/>
            <w:vAlign w:val="center"/>
          </w:tcPr>
          <w:p>
            <w:pPr>
              <w:jc w:val="center"/>
              <w:rPr>
                <w:rFonts w:hint="default" w:ascii="Times New Roman" w:hAnsi="Times New Roman" w:eastAsia="宋体" w:cs="Times New Roman"/>
                <w:color w:val="FF0000"/>
              </w:rPr>
            </w:pPr>
          </w:p>
          <w:p>
            <w:pPr>
              <w:pStyle w:val="38"/>
              <w:adjustRightInd w:val="0"/>
              <w:snapToGrid w:val="0"/>
              <w:spacing w:before="0" w:beforeAutospacing="0" w:after="0" w:afterAutospacing="0" w:line="360" w:lineRule="auto"/>
              <w:jc w:val="left"/>
              <w:rPr>
                <w:rFonts w:hint="default" w:ascii="Times New Roman" w:hAnsi="Times New Roman" w:eastAsia="宋体" w:cs="Times New Roman"/>
                <w:color w:val="FF0000"/>
              </w:rPr>
            </w:pPr>
            <w:bookmarkStart w:id="11" w:name="_Toc31494"/>
            <w:r>
              <w:rPr>
                <w:rFonts w:hint="eastAsia" w:ascii="Times New Roman" w:hAnsi="Times New Roman" w:cs="Times New Roman"/>
                <w:color w:val="FF0000"/>
                <w:highlight w:val="none"/>
                <w:lang w:val="en-US" w:eastAsia="zh-CN"/>
              </w:rPr>
              <w:t xml:space="preserve">  </w:t>
            </w:r>
            <w:r>
              <w:rPr>
                <w:rFonts w:hint="eastAsia" w:ascii="Times New Roman" w:hAnsi="Times New Roman" w:eastAsia="宋体" w:cs="Times New Roman"/>
                <w:color w:val="FF0000"/>
                <w:kern w:val="2"/>
                <w:sz w:val="24"/>
                <w:szCs w:val="24"/>
                <w:highlight w:val="none"/>
                <w:lang w:val="en-US" w:eastAsia="zh-CN" w:bidi="ar-SA"/>
              </w:rPr>
              <w:t>本项目租赁的陆丰管业九号厂房原为一块荒地，建设单位与陆丰管业签订租赁合同后，由陆丰管业承包项目厂房的基本结构建筑。厂房建设完毕后再交付给我方。我方在厂房交付后，</w:t>
            </w:r>
            <w:r>
              <w:rPr>
                <w:rFonts w:hint="default" w:ascii="Times New Roman" w:hAnsi="Times New Roman" w:eastAsia="宋体" w:cs="Times New Roman"/>
                <w:color w:val="FF0000"/>
                <w:kern w:val="2"/>
                <w:sz w:val="24"/>
                <w:szCs w:val="24"/>
                <w:highlight w:val="none"/>
                <w:lang w:val="en-US" w:eastAsia="zh-CN" w:bidi="ar-SA"/>
              </w:rPr>
              <w:t>不再进行大规模装修施工，</w:t>
            </w:r>
            <w:r>
              <w:rPr>
                <w:rFonts w:hint="eastAsia" w:ascii="Times New Roman" w:hAnsi="Times New Roman" w:eastAsia="宋体" w:cs="Times New Roman"/>
                <w:color w:val="FF0000"/>
                <w:kern w:val="2"/>
                <w:sz w:val="24"/>
                <w:szCs w:val="24"/>
                <w:highlight w:val="none"/>
                <w:lang w:val="en-US" w:eastAsia="zh-CN" w:bidi="ar-SA"/>
              </w:rPr>
              <w:t>仅对生产</w:t>
            </w:r>
            <w:r>
              <w:rPr>
                <w:rFonts w:hint="default" w:ascii="Times New Roman" w:hAnsi="Times New Roman" w:eastAsia="宋体" w:cs="Times New Roman"/>
                <w:color w:val="FF0000"/>
                <w:kern w:val="2"/>
                <w:sz w:val="24"/>
                <w:szCs w:val="24"/>
                <w:highlight w:val="none"/>
                <w:lang w:val="en-US" w:eastAsia="zh-CN" w:bidi="ar-SA"/>
              </w:rPr>
              <w:t>设备</w:t>
            </w:r>
            <w:r>
              <w:rPr>
                <w:rFonts w:hint="eastAsia" w:ascii="Times New Roman" w:hAnsi="Times New Roman" w:eastAsia="宋体" w:cs="Times New Roman"/>
                <w:color w:val="FF0000"/>
                <w:kern w:val="2"/>
                <w:sz w:val="24"/>
                <w:szCs w:val="24"/>
                <w:highlight w:val="none"/>
                <w:lang w:val="en-US" w:eastAsia="zh-CN" w:bidi="ar-SA"/>
              </w:rPr>
              <w:t>进行</w:t>
            </w:r>
            <w:r>
              <w:rPr>
                <w:rFonts w:hint="default" w:ascii="Times New Roman" w:hAnsi="Times New Roman" w:eastAsia="宋体" w:cs="Times New Roman"/>
                <w:color w:val="FF0000"/>
                <w:kern w:val="2"/>
                <w:sz w:val="24"/>
                <w:szCs w:val="24"/>
                <w:highlight w:val="none"/>
                <w:lang w:val="en-US" w:eastAsia="zh-CN" w:bidi="ar-SA"/>
              </w:rPr>
              <w:t>安装和调试</w:t>
            </w:r>
            <w:r>
              <w:rPr>
                <w:rFonts w:hint="eastAsia" w:ascii="Times New Roman" w:hAnsi="Times New Roman" w:eastAsia="宋体" w:cs="Times New Roman"/>
                <w:color w:val="FF0000"/>
                <w:kern w:val="2"/>
                <w:sz w:val="24"/>
                <w:szCs w:val="24"/>
                <w:highlight w:val="none"/>
                <w:lang w:val="en-US" w:eastAsia="zh-CN" w:bidi="ar-SA"/>
              </w:rPr>
              <w:t>，安装调试周期较短</w:t>
            </w:r>
            <w:r>
              <w:rPr>
                <w:rFonts w:hint="default" w:ascii="Times New Roman" w:hAnsi="Times New Roman" w:eastAsia="宋体" w:cs="Times New Roman"/>
                <w:color w:val="FF0000"/>
                <w:kern w:val="2"/>
                <w:sz w:val="24"/>
                <w:szCs w:val="24"/>
                <w:highlight w:val="none"/>
                <w:lang w:val="en-US" w:eastAsia="zh-CN" w:bidi="ar-SA"/>
              </w:rPr>
              <w:t>，</w:t>
            </w:r>
            <w:r>
              <w:rPr>
                <w:rFonts w:hint="eastAsia" w:ascii="Times New Roman" w:hAnsi="Times New Roman" w:eastAsia="宋体" w:cs="Times New Roman"/>
                <w:color w:val="FF0000"/>
                <w:kern w:val="2"/>
                <w:sz w:val="24"/>
                <w:szCs w:val="24"/>
                <w:highlight w:val="none"/>
                <w:lang w:val="en-US" w:eastAsia="zh-CN" w:bidi="ar-SA"/>
              </w:rPr>
              <w:t>对周边</w:t>
            </w:r>
            <w:r>
              <w:rPr>
                <w:rFonts w:hint="default" w:ascii="Times New Roman" w:hAnsi="Times New Roman" w:eastAsia="宋体" w:cs="Times New Roman"/>
                <w:color w:val="FF0000"/>
                <w:kern w:val="2"/>
                <w:sz w:val="24"/>
                <w:szCs w:val="24"/>
                <w:highlight w:val="none"/>
                <w:lang w:val="en-US" w:eastAsia="zh-CN" w:bidi="ar-SA"/>
              </w:rPr>
              <w:t>环境影响小。故不开展施工期环境影响分析。</w:t>
            </w:r>
          </w:p>
          <w:bookmarkEnd w:id="11"/>
          <w:p>
            <w:pPr>
              <w:rPr>
                <w:rFonts w:hint="default" w:ascii="Times New Roman" w:hAnsi="Times New Roman" w:eastAsia="宋体"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1" w:hRule="atLeast"/>
        </w:trPr>
        <w:tc>
          <w:tcPr>
            <w:tcW w:w="981" w:type="dxa"/>
            <w:vAlign w:val="center"/>
          </w:tcPr>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pStyle w:val="38"/>
              <w:adjustRightInd w:val="0"/>
              <w:snapToGrid w:val="0"/>
              <w:spacing w:before="0" w:beforeAutospacing="0" w:after="0" w:afterAutospacing="0"/>
              <w:jc w:val="center"/>
              <w:rPr>
                <w:rFonts w:hint="default" w:ascii="Times New Roman" w:hAnsi="Times New Roman" w:eastAsia="宋体" w:cs="Times New Roman"/>
                <w:color w:val="FF0000"/>
                <w:szCs w:val="24"/>
              </w:rPr>
            </w:pPr>
            <w:r>
              <w:rPr>
                <w:rFonts w:hint="default" w:ascii="Times New Roman" w:hAnsi="Times New Roman" w:eastAsia="宋体" w:cs="Times New Roman"/>
                <w:bCs/>
                <w:color w:val="auto"/>
                <w:szCs w:val="24"/>
              </w:rPr>
              <w:t>措施</w:t>
            </w:r>
          </w:p>
        </w:tc>
        <w:tc>
          <w:tcPr>
            <w:tcW w:w="12021" w:type="dxa"/>
            <w:vAlign w:val="center"/>
          </w:tcPr>
          <w:p>
            <w:pPr>
              <w:adjustRightInd w:val="0"/>
              <w:snapToGrid w:val="0"/>
              <w:spacing w:beforeAutospacing="0"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一、废气</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1、废气污染源情况</w:t>
            </w:r>
          </w:p>
          <w:p>
            <w:pPr>
              <w:adjustRightInd w:val="0"/>
              <w:snapToGrid w:val="0"/>
              <w:spacing w:line="240" w:lineRule="auto"/>
              <w:ind w:firstLine="422" w:firstLineChars="200"/>
              <w:jc w:val="center"/>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eastAsia="zh-CN"/>
              </w:rPr>
              <w:t>表</w:t>
            </w:r>
            <w:r>
              <w:rPr>
                <w:rFonts w:hint="default" w:ascii="Times New Roman" w:hAnsi="Times New Roman" w:eastAsia="宋体" w:cs="Times New Roman"/>
                <w:b/>
                <w:color w:val="auto"/>
                <w:lang w:val="en-US" w:eastAsia="zh-CN"/>
              </w:rPr>
              <w:t>4-1项目建成后全厂</w:t>
            </w:r>
            <w:r>
              <w:rPr>
                <w:rFonts w:hint="default" w:ascii="Times New Roman" w:hAnsi="Times New Roman" w:eastAsia="宋体" w:cs="Times New Roman"/>
                <w:b/>
                <w:color w:val="auto"/>
              </w:rPr>
              <w:t>废气污染源产生、正常排放汇总表</w:t>
            </w:r>
          </w:p>
          <w:tbl>
            <w:tblPr>
              <w:tblStyle w:val="57"/>
              <w:tblW w:w="11952"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70"/>
              <w:gridCol w:w="315"/>
              <w:gridCol w:w="585"/>
              <w:gridCol w:w="540"/>
              <w:gridCol w:w="615"/>
              <w:gridCol w:w="660"/>
              <w:gridCol w:w="480"/>
              <w:gridCol w:w="465"/>
              <w:gridCol w:w="495"/>
              <w:gridCol w:w="405"/>
              <w:gridCol w:w="960"/>
              <w:gridCol w:w="540"/>
              <w:gridCol w:w="690"/>
              <w:gridCol w:w="555"/>
              <w:gridCol w:w="585"/>
              <w:gridCol w:w="420"/>
              <w:gridCol w:w="465"/>
              <w:gridCol w:w="430"/>
              <w:gridCol w:w="1059"/>
              <w:gridCol w:w="525"/>
              <w:gridCol w:w="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2" w:hRule="atLeast"/>
              </w:trPr>
              <w:tc>
                <w:tcPr>
                  <w:tcW w:w="77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产排污环节</w:t>
                  </w:r>
                </w:p>
              </w:tc>
              <w:tc>
                <w:tcPr>
                  <w:tcW w:w="31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排放形式</w:t>
                  </w:r>
                </w:p>
              </w:tc>
              <w:tc>
                <w:tcPr>
                  <w:tcW w:w="58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污染物种类</w:t>
                  </w:r>
                </w:p>
              </w:tc>
              <w:tc>
                <w:tcPr>
                  <w:tcW w:w="1815" w:type="dxa"/>
                  <w:gridSpan w:val="3"/>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污染物产生量和浓度</w:t>
                  </w:r>
                </w:p>
              </w:tc>
              <w:tc>
                <w:tcPr>
                  <w:tcW w:w="2805" w:type="dxa"/>
                  <w:gridSpan w:val="5"/>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污染治理设施</w:t>
                  </w:r>
                </w:p>
              </w:tc>
              <w:tc>
                <w:tcPr>
                  <w:tcW w:w="1785" w:type="dxa"/>
                  <w:gridSpan w:val="3"/>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污染物排放量和浓度</w:t>
                  </w:r>
                </w:p>
              </w:tc>
              <w:tc>
                <w:tcPr>
                  <w:tcW w:w="2959" w:type="dxa"/>
                  <w:gridSpan w:val="5"/>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排放口基本情况</w:t>
                  </w:r>
                </w:p>
              </w:tc>
              <w:tc>
                <w:tcPr>
                  <w:tcW w:w="918" w:type="dxa"/>
                  <w:gridSpan w:val="2"/>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r>
                    <w:rPr>
                      <w:rFonts w:hint="default" w:ascii="Times New Roman" w:hAnsi="Times New Roman" w:eastAsia="宋体" w:cs="Times New Roman"/>
                      <w:b/>
                      <w:bCs/>
                      <w:i w:val="0"/>
                      <w:iCs w:val="0"/>
                      <w:color w:val="FF0000"/>
                      <w:kern w:val="0"/>
                      <w:sz w:val="18"/>
                      <w:szCs w:val="18"/>
                      <w:u w:val="none"/>
                      <w:lang w:val="en-US" w:eastAsia="zh-CN" w:bidi="ar"/>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70" w:type="dxa"/>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bCs/>
                      <w:i w:val="0"/>
                      <w:iCs w:val="0"/>
                      <w:color w:val="FF0000"/>
                      <w:sz w:val="18"/>
                      <w:szCs w:val="18"/>
                      <w:u w:val="none"/>
                    </w:rPr>
                  </w:pPr>
                </w:p>
              </w:tc>
              <w:tc>
                <w:tcPr>
                  <w:tcW w:w="315" w:type="dxa"/>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bCs/>
                      <w:i w:val="0"/>
                      <w:iCs w:val="0"/>
                      <w:color w:val="FF0000"/>
                      <w:sz w:val="18"/>
                      <w:szCs w:val="18"/>
                      <w:u w:val="none"/>
                    </w:rPr>
                  </w:pPr>
                </w:p>
              </w:tc>
              <w:tc>
                <w:tcPr>
                  <w:tcW w:w="58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p>
              </w:tc>
              <w:tc>
                <w:tcPr>
                  <w:tcW w:w="54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产生浓度</w:t>
                  </w:r>
                </w:p>
              </w:tc>
              <w:tc>
                <w:tcPr>
                  <w:tcW w:w="1275" w:type="dxa"/>
                  <w:gridSpan w:val="2"/>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产生量</w:t>
                  </w:r>
                </w:p>
              </w:tc>
              <w:tc>
                <w:tcPr>
                  <w:tcW w:w="48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处理能力</w:t>
                  </w:r>
                </w:p>
              </w:tc>
              <w:tc>
                <w:tcPr>
                  <w:tcW w:w="46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收集效率</w:t>
                  </w:r>
                </w:p>
              </w:tc>
              <w:tc>
                <w:tcPr>
                  <w:tcW w:w="49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去除效率</w:t>
                  </w:r>
                </w:p>
              </w:tc>
              <w:tc>
                <w:tcPr>
                  <w:tcW w:w="40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是否可行技术</w:t>
                  </w:r>
                </w:p>
              </w:tc>
              <w:tc>
                <w:tcPr>
                  <w:tcW w:w="96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处理工艺</w:t>
                  </w:r>
                </w:p>
              </w:tc>
              <w:tc>
                <w:tcPr>
                  <w:tcW w:w="54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排放浓度</w:t>
                  </w:r>
                </w:p>
              </w:tc>
              <w:tc>
                <w:tcPr>
                  <w:tcW w:w="1245" w:type="dxa"/>
                  <w:gridSpan w:val="2"/>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排放量</w:t>
                  </w:r>
                </w:p>
              </w:tc>
              <w:tc>
                <w:tcPr>
                  <w:tcW w:w="58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编号及名称</w:t>
                  </w:r>
                </w:p>
              </w:tc>
              <w:tc>
                <w:tcPr>
                  <w:tcW w:w="42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类型</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内径</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温度</w:t>
                  </w:r>
                </w:p>
              </w:tc>
              <w:tc>
                <w:tcPr>
                  <w:tcW w:w="1059"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地理</w:t>
                  </w:r>
                </w:p>
              </w:tc>
              <w:tc>
                <w:tcPr>
                  <w:tcW w:w="52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r>
                    <w:rPr>
                      <w:rFonts w:hint="default" w:ascii="Times New Roman" w:hAnsi="Times New Roman" w:eastAsia="宋体" w:cs="Times New Roman"/>
                      <w:b/>
                      <w:bCs/>
                      <w:i w:val="0"/>
                      <w:iCs w:val="0"/>
                      <w:color w:val="FF0000"/>
                      <w:kern w:val="0"/>
                      <w:sz w:val="18"/>
                      <w:szCs w:val="18"/>
                      <w:u w:val="none"/>
                      <w:lang w:val="en-US" w:eastAsia="zh-CN" w:bidi="ar"/>
                    </w:rPr>
                    <w:t>浓度</w:t>
                  </w:r>
                </w:p>
              </w:tc>
              <w:tc>
                <w:tcPr>
                  <w:tcW w:w="393"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r>
                    <w:rPr>
                      <w:rFonts w:hint="default" w:ascii="Times New Roman" w:hAnsi="Times New Roman" w:eastAsia="宋体" w:cs="Times New Roman"/>
                      <w:b/>
                      <w:bCs/>
                      <w:i w:val="0"/>
                      <w:iCs w:val="0"/>
                      <w:color w:val="FF0000"/>
                      <w:kern w:val="0"/>
                      <w:sz w:val="18"/>
                      <w:szCs w:val="18"/>
                      <w:u w:val="none"/>
                      <w:lang w:val="en-US" w:eastAsia="zh-CN" w:bidi="ar"/>
                    </w:rPr>
                    <w:t>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7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31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58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54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1275" w:type="dxa"/>
                  <w:gridSpan w:val="2"/>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4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49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40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54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1245" w:type="dxa"/>
                  <w:gridSpan w:val="2"/>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58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42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eastAsiaTheme="minorEastAsia"/>
                      <w:color w:val="FF0000"/>
                      <w:lang w:val="en-US" w:eastAsia="zh-CN"/>
                    </w:rPr>
                  </w:pPr>
                  <w:r>
                    <w:rPr>
                      <w:rFonts w:hint="eastAsia"/>
                      <w:color w:val="FF0000"/>
                      <w:lang w:val="en-US" w:eastAsia="zh-CN"/>
                    </w:rPr>
                    <w:t>m</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eastAsiaTheme="minorEastAsia"/>
                      <w:color w:val="FF0000"/>
                      <w:lang w:eastAsia="zh-CN"/>
                    </w:rPr>
                  </w:pPr>
                  <w:r>
                    <w:rPr>
                      <w:rFonts w:hint="eastAsia"/>
                      <w:color w:val="FF0000"/>
                      <w:lang w:eastAsia="zh-CN"/>
                    </w:rPr>
                    <w:t>℃</w:t>
                  </w:r>
                </w:p>
              </w:tc>
              <w:tc>
                <w:tcPr>
                  <w:tcW w:w="1059"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坐标</w:t>
                  </w:r>
                </w:p>
              </w:tc>
              <w:tc>
                <w:tcPr>
                  <w:tcW w:w="52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p>
              </w:tc>
              <w:tc>
                <w:tcPr>
                  <w:tcW w:w="393"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770" w:type="dxa"/>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bCs/>
                      <w:i w:val="0"/>
                      <w:iCs w:val="0"/>
                      <w:color w:val="FF0000"/>
                      <w:sz w:val="18"/>
                      <w:szCs w:val="18"/>
                      <w:u w:val="none"/>
                    </w:rPr>
                  </w:pPr>
                </w:p>
              </w:tc>
              <w:tc>
                <w:tcPr>
                  <w:tcW w:w="315" w:type="dxa"/>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bCs/>
                      <w:i w:val="0"/>
                      <w:iCs w:val="0"/>
                      <w:color w:val="FF0000"/>
                      <w:sz w:val="18"/>
                      <w:szCs w:val="18"/>
                      <w:u w:val="none"/>
                    </w:rPr>
                  </w:pPr>
                </w:p>
              </w:tc>
              <w:tc>
                <w:tcPr>
                  <w:tcW w:w="585" w:type="dxa"/>
                  <w:vMerge w:val="continue"/>
                  <w:tcBorders>
                    <w:tl2br w:val="nil"/>
                    <w:tr2bl w:val="nil"/>
                  </w:tcBorders>
                  <w:shd w:val="clear" w:color="auto" w:fill="auto"/>
                  <w:noWrap/>
                  <w:tcMar>
                    <w:top w:w="0" w:type="dxa"/>
                    <w:left w:w="0" w:type="dxa"/>
                    <w:bottom w:w="0" w:type="dxa"/>
                    <w:right w:w="0" w:type="dxa"/>
                  </w:tcMar>
                  <w:vAlign w:val="center"/>
                </w:tcPr>
                <w:p>
                  <w:pPr>
                    <w:rPr>
                      <w:rFonts w:hint="default" w:ascii="Times New Roman" w:hAnsi="Times New Roman" w:eastAsia="宋体" w:cs="Times New Roman"/>
                      <w:i w:val="0"/>
                      <w:iCs w:val="0"/>
                      <w:color w:val="FF0000"/>
                      <w:sz w:val="22"/>
                      <w:szCs w:val="22"/>
                      <w:u w:val="none"/>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mg/m</w:t>
                  </w:r>
                  <w:r>
                    <w:rPr>
                      <w:rStyle w:val="627"/>
                      <w:rFonts w:hint="default" w:ascii="Times New Roman" w:hAnsi="Times New Roman" w:eastAsia="宋体" w:cs="Times New Roman"/>
                      <w:color w:val="FF0000"/>
                      <w:lang w:val="en-US" w:eastAsia="zh-CN" w:bidi="ar"/>
                    </w:rPr>
                    <w:t>3</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kg/h</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t/a</w:t>
                  </w:r>
                </w:p>
              </w:tc>
              <w:tc>
                <w:tcPr>
                  <w:tcW w:w="48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m</w:t>
                  </w:r>
                  <w:r>
                    <w:rPr>
                      <w:rStyle w:val="627"/>
                      <w:rFonts w:hint="default" w:ascii="Times New Roman" w:hAnsi="Times New Roman" w:eastAsia="宋体" w:cs="Times New Roman"/>
                      <w:color w:val="FF0000"/>
                      <w:lang w:val="en-US" w:eastAsia="zh-CN" w:bidi="ar"/>
                    </w:rPr>
                    <w:t>3</w:t>
                  </w:r>
                  <w:r>
                    <w:rPr>
                      <w:rFonts w:hint="default" w:ascii="Times New Roman" w:hAnsi="Times New Roman" w:eastAsia="宋体" w:cs="Times New Roman"/>
                      <w:b/>
                      <w:bCs/>
                      <w:i w:val="0"/>
                      <w:iCs w:val="0"/>
                      <w:color w:val="FF0000"/>
                      <w:kern w:val="0"/>
                      <w:sz w:val="18"/>
                      <w:szCs w:val="18"/>
                      <w:u w:val="none"/>
                      <w:lang w:val="en-US" w:eastAsia="zh-CN" w:bidi="ar"/>
                    </w:rPr>
                    <w:t>/h</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w:t>
                  </w:r>
                </w:p>
              </w:tc>
              <w:tc>
                <w:tcPr>
                  <w:tcW w:w="49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w:t>
                  </w:r>
                </w:p>
              </w:tc>
              <w:tc>
                <w:tcPr>
                  <w:tcW w:w="405" w:type="dxa"/>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bCs/>
                      <w:i w:val="0"/>
                      <w:iCs w:val="0"/>
                      <w:color w:val="FF0000"/>
                      <w:sz w:val="18"/>
                      <w:szCs w:val="18"/>
                      <w:u w:val="none"/>
                    </w:rPr>
                  </w:pPr>
                </w:p>
              </w:tc>
              <w:tc>
                <w:tcPr>
                  <w:tcW w:w="960" w:type="dxa"/>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bCs/>
                      <w:i w:val="0"/>
                      <w:iCs w:val="0"/>
                      <w:color w:val="FF0000"/>
                      <w:sz w:val="18"/>
                      <w:szCs w:val="18"/>
                      <w:u w:val="none"/>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mg/m</w:t>
                  </w:r>
                  <w:r>
                    <w:rPr>
                      <w:rStyle w:val="627"/>
                      <w:rFonts w:hint="default" w:ascii="Times New Roman" w:hAnsi="Times New Roman" w:eastAsia="宋体" w:cs="Times New Roman"/>
                      <w:color w:val="FF0000"/>
                      <w:lang w:val="en-US" w:eastAsia="zh-CN" w:bidi="ar"/>
                    </w:rPr>
                    <w:t>3</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kg/h</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sz w:val="18"/>
                      <w:szCs w:val="18"/>
                      <w:u w:val="none"/>
                    </w:rPr>
                  </w:pPr>
                  <w:r>
                    <w:rPr>
                      <w:rFonts w:hint="default" w:ascii="Times New Roman" w:hAnsi="Times New Roman" w:eastAsia="宋体" w:cs="Times New Roman"/>
                      <w:b/>
                      <w:bCs/>
                      <w:i w:val="0"/>
                      <w:iCs w:val="0"/>
                      <w:color w:val="FF0000"/>
                      <w:kern w:val="0"/>
                      <w:sz w:val="18"/>
                      <w:szCs w:val="18"/>
                      <w:u w:val="none"/>
                      <w:lang w:val="en-US" w:eastAsia="zh-CN" w:bidi="ar"/>
                    </w:rPr>
                    <w:t>t/a</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w:t>
                  </w:r>
                </w:p>
              </w:tc>
              <w:tc>
                <w:tcPr>
                  <w:tcW w:w="1059"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w:t>
                  </w: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r>
                    <w:rPr>
                      <w:rFonts w:hint="default" w:ascii="Times New Roman" w:hAnsi="Times New Roman" w:eastAsia="宋体" w:cs="Times New Roman"/>
                      <w:b/>
                      <w:bCs/>
                      <w:i w:val="0"/>
                      <w:iCs w:val="0"/>
                      <w:color w:val="FF0000"/>
                      <w:kern w:val="0"/>
                      <w:sz w:val="18"/>
                      <w:szCs w:val="18"/>
                      <w:u w:val="none"/>
                      <w:lang w:val="en-US" w:eastAsia="zh-CN" w:bidi="ar"/>
                    </w:rPr>
                    <w:t>mg/m</w:t>
                  </w:r>
                  <w:r>
                    <w:rPr>
                      <w:rStyle w:val="627"/>
                      <w:rFonts w:hint="default" w:ascii="Times New Roman" w:hAnsi="Times New Roman" w:eastAsia="宋体" w:cs="Times New Roman"/>
                      <w:color w:val="FF0000"/>
                      <w:lang w:val="en-US" w:eastAsia="zh-CN" w:bidi="ar"/>
                    </w:rPr>
                    <w:t>3</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FF0000"/>
                      <w:kern w:val="0"/>
                      <w:sz w:val="18"/>
                      <w:szCs w:val="18"/>
                      <w:u w:val="none"/>
                      <w:lang w:val="en-US" w:eastAsia="zh-CN" w:bidi="ar"/>
                    </w:rPr>
                  </w:pPr>
                  <w:r>
                    <w:rPr>
                      <w:rFonts w:hint="default" w:ascii="Times New Roman" w:hAnsi="Times New Roman" w:eastAsia="宋体" w:cs="Times New Roman"/>
                      <w:b/>
                      <w:bCs/>
                      <w:i w:val="0"/>
                      <w:iCs w:val="0"/>
                      <w:color w:val="FF0000"/>
                      <w:kern w:val="0"/>
                      <w:sz w:val="18"/>
                      <w:szCs w:val="18"/>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7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FF0000"/>
                      <w:kern w:val="2"/>
                      <w:sz w:val="18"/>
                      <w:szCs w:val="18"/>
                      <w:u w:val="none"/>
                      <w:lang w:val="en-US" w:eastAsia="zh-CN" w:bidi="ar-SA"/>
                    </w:rPr>
                  </w:pPr>
                  <w:r>
                    <w:rPr>
                      <w:rFonts w:hint="eastAsia" w:ascii="Times New Roman" w:hAnsi="Times New Roman" w:eastAsia="宋体" w:cs="Times New Roman"/>
                      <w:i w:val="0"/>
                      <w:iCs w:val="0"/>
                      <w:color w:val="FF0000"/>
                      <w:sz w:val="18"/>
                      <w:szCs w:val="18"/>
                      <w:u w:val="none"/>
                      <w:lang w:eastAsia="zh-CN"/>
                    </w:rPr>
                    <w:t>投料粉尘</w:t>
                  </w:r>
                </w:p>
              </w:tc>
              <w:tc>
                <w:tcPr>
                  <w:tcW w:w="315" w:type="dxa"/>
                  <w:vMerge w:val="restart"/>
                  <w:tcBorders>
                    <w:tl2br w:val="nil"/>
                    <w:tr2bl w:val="nil"/>
                  </w:tcBorders>
                  <w:shd w:val="clear" w:color="auto" w:fill="auto"/>
                  <w:tcMar>
                    <w:top w:w="0" w:type="dxa"/>
                    <w:left w:w="0" w:type="dxa"/>
                    <w:bottom w:w="0" w:type="dxa"/>
                    <w:right w:w="0" w:type="dxa"/>
                  </w:tcMar>
                  <w:vAlign w:val="center"/>
                </w:tcPr>
                <w:p>
                  <w:pPr>
                    <w:jc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有组织</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2"/>
                      <w:sz w:val="18"/>
                      <w:szCs w:val="18"/>
                      <w:u w:val="none"/>
                      <w:lang w:val="en-US" w:eastAsia="zh-CN" w:bidi="ar-SA"/>
                    </w:rPr>
                  </w:pPr>
                  <w:r>
                    <w:rPr>
                      <w:rFonts w:hint="eastAsia" w:ascii="Times New Roman" w:hAnsi="Times New Roman" w:eastAsia="宋体" w:cs="Times New Roman"/>
                      <w:i w:val="0"/>
                      <w:iCs w:val="0"/>
                      <w:color w:val="FF0000"/>
                      <w:sz w:val="18"/>
                      <w:szCs w:val="18"/>
                      <w:u w:val="none"/>
                      <w:lang w:eastAsia="zh-CN"/>
                    </w:rPr>
                    <w:t>颗粒物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2"/>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50.283</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2"/>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2.0113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2"/>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9.6545 </w:t>
                  </w:r>
                </w:p>
              </w:tc>
              <w:tc>
                <w:tcPr>
                  <w:tcW w:w="48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40000</w:t>
                  </w:r>
                </w:p>
              </w:tc>
              <w:tc>
                <w:tcPr>
                  <w:tcW w:w="46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95</w:t>
                  </w:r>
                </w:p>
              </w:tc>
              <w:tc>
                <w:tcPr>
                  <w:tcW w:w="49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99</w:t>
                  </w:r>
                </w:p>
              </w:tc>
              <w:tc>
                <w:tcPr>
                  <w:tcW w:w="40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是</w:t>
                  </w:r>
                </w:p>
              </w:tc>
              <w:tc>
                <w:tcPr>
                  <w:tcW w:w="96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负压收集（密闭收集）+布袋除尘器（脉冲除尘）+15m高排气筒</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eastAsia" w:ascii="Times New Roman" w:hAnsi="Times New Roman" w:eastAsia="宋体" w:cs="Times New Roman"/>
                      <w:i w:val="0"/>
                      <w:iCs w:val="0"/>
                      <w:color w:val="FF0000"/>
                      <w:kern w:val="0"/>
                      <w:sz w:val="18"/>
                      <w:szCs w:val="18"/>
                      <w:u w:val="none"/>
                      <w:lang w:val="en-US" w:eastAsia="zh-CN" w:bidi="ar"/>
                    </w:rPr>
                    <w:t xml:space="preserve">0.5028 </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0.0201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2"/>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0.0965 </w:t>
                  </w:r>
                </w:p>
              </w:tc>
              <w:tc>
                <w:tcPr>
                  <w:tcW w:w="58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2"/>
                      <w:sz w:val="18"/>
                      <w:szCs w:val="18"/>
                      <w:u w:val="none"/>
                      <w:lang w:val="en-US" w:eastAsia="zh-CN" w:bidi="ar"/>
                    </w:rPr>
                  </w:pPr>
                  <w:r>
                    <w:rPr>
                      <w:rStyle w:val="628"/>
                      <w:rFonts w:hint="eastAsia" w:ascii="Times New Roman" w:hAnsi="Times New Roman" w:eastAsia="宋体" w:cs="Times New Roman"/>
                      <w:color w:val="FF0000"/>
                      <w:sz w:val="18"/>
                      <w:szCs w:val="18"/>
                      <w:lang w:val="en-US" w:eastAsia="zh-CN" w:bidi="ar"/>
                    </w:rPr>
                    <w:t>DA001排放口</w:t>
                  </w:r>
                </w:p>
              </w:tc>
              <w:tc>
                <w:tcPr>
                  <w:tcW w:w="42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一般排放口</w:t>
                  </w:r>
                </w:p>
              </w:tc>
              <w:tc>
                <w:tcPr>
                  <w:tcW w:w="46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0.6</w:t>
                  </w:r>
                </w:p>
              </w:tc>
              <w:tc>
                <w:tcPr>
                  <w:tcW w:w="43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25</w:t>
                  </w:r>
                </w:p>
              </w:tc>
              <w:tc>
                <w:tcPr>
                  <w:tcW w:w="1059"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heme="minorHAnsi" w:hAnsiTheme="minorHAnsi" w:eastAsiaTheme="minorEastAsia" w:cstheme="minorBidi"/>
                      <w:color w:val="FF0000"/>
                      <w:kern w:val="2"/>
                      <w:sz w:val="21"/>
                      <w:szCs w:val="22"/>
                      <w:lang w:val="en-US" w:eastAsia="zh-CN" w:bidi="ar-SA"/>
                    </w:rPr>
                  </w:pPr>
                  <w:r>
                    <w:rPr>
                      <w:rFonts w:hint="default" w:ascii="Times New Roman" w:hAnsi="Times New Roman" w:eastAsia="宋体" w:cs="Times New Roman"/>
                      <w:color w:val="FF0000"/>
                      <w:sz w:val="18"/>
                      <w:szCs w:val="18"/>
                      <w:lang w:val="en-US" w:eastAsia="zh-CN"/>
                    </w:rPr>
                    <w:t>115°</w:t>
                  </w:r>
                  <w:r>
                    <w:rPr>
                      <w:rFonts w:hint="eastAsia" w:ascii="Times New Roman" w:hAnsi="Times New Roman" w:eastAsia="宋体" w:cs="Times New Roman"/>
                      <w:color w:val="FF0000"/>
                      <w:sz w:val="18"/>
                      <w:szCs w:val="18"/>
                      <w:lang w:val="en-US" w:eastAsia="zh-CN"/>
                    </w:rPr>
                    <w:t>26</w:t>
                  </w:r>
                  <w:r>
                    <w:rPr>
                      <w:rFonts w:hint="default" w:ascii="Times New Roman" w:hAnsi="Times New Roman" w:eastAsia="宋体" w:cs="Times New Roman"/>
                      <w:color w:val="FF0000"/>
                      <w:sz w:val="18"/>
                      <w:szCs w:val="18"/>
                      <w:lang w:val="en-US" w:eastAsia="zh-CN"/>
                    </w:rPr>
                    <w:t>′</w:t>
                  </w:r>
                  <w:r>
                    <w:rPr>
                      <w:rFonts w:hint="eastAsia" w:ascii="Times New Roman" w:hAnsi="Times New Roman" w:eastAsia="宋体" w:cs="Times New Roman"/>
                      <w:color w:val="FF0000"/>
                      <w:sz w:val="18"/>
                      <w:szCs w:val="18"/>
                      <w:lang w:val="en-US" w:eastAsia="zh-CN"/>
                    </w:rPr>
                    <w:t>3.214</w:t>
                  </w:r>
                  <w:r>
                    <w:rPr>
                      <w:rFonts w:hint="default" w:ascii="Times New Roman" w:hAnsi="Times New Roman" w:eastAsia="宋体" w:cs="Times New Roman"/>
                      <w:color w:val="FF0000"/>
                      <w:sz w:val="18"/>
                      <w:szCs w:val="18"/>
                      <w:lang w:val="en-US" w:eastAsia="zh-CN"/>
                    </w:rPr>
                    <w:t>″</w:t>
                  </w:r>
                  <w:r>
                    <w:rPr>
                      <w:rFonts w:hint="eastAsia" w:ascii="Times New Roman" w:hAnsi="Times New Roman" w:eastAsia="宋体" w:cs="Times New Roman"/>
                      <w:color w:val="FF0000"/>
                      <w:sz w:val="18"/>
                      <w:szCs w:val="18"/>
                      <w:lang w:val="en-US" w:eastAsia="zh-CN"/>
                    </w:rPr>
                    <w:t>28</w:t>
                  </w:r>
                  <w:r>
                    <w:rPr>
                      <w:rFonts w:hint="default" w:ascii="Times New Roman" w:hAnsi="Times New Roman" w:eastAsia="宋体" w:cs="Times New Roman"/>
                      <w:color w:val="FF0000"/>
                      <w:sz w:val="18"/>
                      <w:szCs w:val="18"/>
                      <w:lang w:val="en-US" w:eastAsia="zh-CN"/>
                    </w:rPr>
                    <w:t>°</w:t>
                  </w:r>
                  <w:r>
                    <w:rPr>
                      <w:rFonts w:hint="eastAsia" w:ascii="Times New Roman" w:hAnsi="Times New Roman" w:eastAsia="宋体" w:cs="Times New Roman"/>
                      <w:color w:val="FF0000"/>
                      <w:sz w:val="18"/>
                      <w:szCs w:val="18"/>
                      <w:lang w:val="en-US" w:eastAsia="zh-CN"/>
                    </w:rPr>
                    <w:t>40</w:t>
                  </w:r>
                  <w:r>
                    <w:rPr>
                      <w:rFonts w:hint="default" w:ascii="Times New Roman" w:hAnsi="Times New Roman" w:eastAsia="宋体" w:cs="Times New Roman"/>
                      <w:color w:val="FF0000"/>
                      <w:sz w:val="18"/>
                      <w:szCs w:val="18"/>
                      <w:lang w:val="en-US" w:eastAsia="zh-CN"/>
                    </w:rPr>
                    <w:t>′</w:t>
                  </w:r>
                  <w:r>
                    <w:rPr>
                      <w:rFonts w:hint="eastAsia" w:ascii="Times New Roman" w:hAnsi="Times New Roman" w:eastAsia="宋体" w:cs="Times New Roman"/>
                      <w:color w:val="FF0000"/>
                      <w:sz w:val="18"/>
                      <w:szCs w:val="18"/>
                      <w:lang w:val="en-US" w:eastAsia="zh-CN"/>
                    </w:rPr>
                    <w:t>33.309</w:t>
                  </w:r>
                  <w:r>
                    <w:rPr>
                      <w:rFonts w:hint="default" w:ascii="Times New Roman" w:hAnsi="Times New Roman" w:eastAsia="宋体" w:cs="Times New Roman"/>
                      <w:color w:val="FF0000"/>
                      <w:sz w:val="18"/>
                      <w:szCs w:val="18"/>
                      <w:lang w:val="en-US" w:eastAsia="zh-CN"/>
                    </w:rPr>
                    <w:t>″</w:t>
                  </w: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2"/>
                      <w:sz w:val="18"/>
                      <w:szCs w:val="18"/>
                      <w:u w:val="none"/>
                      <w:lang w:val="en-US" w:eastAsia="zh-CN" w:bidi="ar"/>
                    </w:rPr>
                  </w:pPr>
                  <w:r>
                    <w:rPr>
                      <w:rStyle w:val="629"/>
                      <w:rFonts w:hint="eastAsia" w:ascii="Times New Roman" w:hAnsi="Times New Roman" w:eastAsia="宋体" w:cs="Times New Roman"/>
                      <w:color w:val="FF0000"/>
                      <w:sz w:val="18"/>
                      <w:szCs w:val="18"/>
                      <w:lang w:val="en-US" w:eastAsia="zh-CN" w:bidi="ar"/>
                    </w:rPr>
                    <w:t>120</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2"/>
                      <w:sz w:val="18"/>
                      <w:szCs w:val="18"/>
                      <w:u w:val="none"/>
                      <w:lang w:val="en-US" w:eastAsia="zh-CN" w:bidi="ar"/>
                    </w:rPr>
                  </w:pPr>
                  <w:r>
                    <w:rPr>
                      <w:rStyle w:val="629"/>
                      <w:rFonts w:hint="eastAsia" w:ascii="Times New Roman" w:hAnsi="Times New Roman" w:eastAsia="宋体" w:cs="Times New Roman"/>
                      <w:color w:val="FF0000"/>
                      <w:sz w:val="18"/>
                      <w:szCs w:val="18"/>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7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31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color w:val="FF0000"/>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eastAsia="zh-CN"/>
                    </w:rPr>
                    <w:t>氟化物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0.1831 </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0.0073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0.0351 </w:t>
                  </w:r>
                </w:p>
              </w:tc>
              <w:tc>
                <w:tcPr>
                  <w:tcW w:w="4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9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0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0.0018 </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0.0001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0.0004 </w:t>
                  </w:r>
                </w:p>
              </w:tc>
              <w:tc>
                <w:tcPr>
                  <w:tcW w:w="58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2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3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9</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7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both"/>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val="en-US" w:eastAsia="zh-CN"/>
                    </w:rPr>
                    <w:t>破碎粉尘</w:t>
                  </w:r>
                </w:p>
              </w:tc>
              <w:tc>
                <w:tcPr>
                  <w:tcW w:w="315" w:type="dxa"/>
                  <w:vMerge w:val="continue"/>
                  <w:tcBorders>
                    <w:tl2br w:val="nil"/>
                    <w:tr2bl w:val="nil"/>
                  </w:tcBorders>
                  <w:shd w:val="clear" w:color="auto" w:fill="auto"/>
                  <w:tcMar>
                    <w:top w:w="0" w:type="dxa"/>
                    <w:left w:w="0" w:type="dxa"/>
                    <w:bottom w:w="0" w:type="dxa"/>
                    <w:right w:w="0" w:type="dxa"/>
                  </w:tcMar>
                  <w:vAlign w:val="center"/>
                </w:tcPr>
                <w:p>
                  <w:pPr>
                    <w:jc w:val="center"/>
                    <w:rPr>
                      <w:rStyle w:val="628"/>
                      <w:rFonts w:hint="eastAsia" w:ascii="Times New Roman" w:hAnsi="Times New Roman" w:eastAsia="宋体" w:cs="Times New Roman"/>
                      <w:color w:val="FF0000"/>
                      <w:sz w:val="18"/>
                      <w:szCs w:val="18"/>
                      <w:lang w:val="en-US" w:eastAsia="zh-CN" w:bidi="ar"/>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eastAsia="zh-CN"/>
                    </w:rPr>
                    <w:t>颗粒物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197.91 </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7.9167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19.0000 </w:t>
                  </w:r>
                </w:p>
              </w:tc>
              <w:tc>
                <w:tcPr>
                  <w:tcW w:w="4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9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0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1.9792 </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0.0792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2"/>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0.1900 </w:t>
                  </w:r>
                </w:p>
              </w:tc>
              <w:tc>
                <w:tcPr>
                  <w:tcW w:w="58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2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3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eastAsia"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120</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eastAsia"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7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both"/>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研磨粉尘</w:t>
                  </w:r>
                </w:p>
              </w:tc>
              <w:tc>
                <w:tcPr>
                  <w:tcW w:w="315" w:type="dxa"/>
                  <w:vMerge w:val="continue"/>
                  <w:tcBorders>
                    <w:tl2br w:val="nil"/>
                    <w:tr2bl w:val="nil"/>
                  </w:tcBorders>
                  <w:shd w:val="clear" w:color="auto" w:fill="auto"/>
                  <w:tcMar>
                    <w:top w:w="0" w:type="dxa"/>
                    <w:left w:w="0" w:type="dxa"/>
                    <w:bottom w:w="0" w:type="dxa"/>
                    <w:right w:w="0" w:type="dxa"/>
                  </w:tcMar>
                  <w:vAlign w:val="center"/>
                </w:tcPr>
                <w:p>
                  <w:pPr>
                    <w:jc w:val="center"/>
                    <w:rPr>
                      <w:rStyle w:val="628"/>
                      <w:rFonts w:hint="eastAsia" w:ascii="Times New Roman" w:hAnsi="Times New Roman" w:eastAsia="宋体" w:cs="Times New Roman"/>
                      <w:color w:val="FF0000"/>
                      <w:sz w:val="18"/>
                      <w:szCs w:val="18"/>
                      <w:lang w:val="en-US" w:eastAsia="zh-CN" w:bidi="ar"/>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eastAsia="zh-CN"/>
                    </w:rPr>
                    <w:t>颗粒物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132.32</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5.2929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25.4060 </w:t>
                  </w:r>
                </w:p>
              </w:tc>
              <w:tc>
                <w:tcPr>
                  <w:tcW w:w="4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6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100</w:t>
                  </w:r>
                </w:p>
              </w:tc>
              <w:tc>
                <w:tcPr>
                  <w:tcW w:w="49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0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1.3232 </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0.0529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2"/>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0.2541 </w:t>
                  </w:r>
                </w:p>
              </w:tc>
              <w:tc>
                <w:tcPr>
                  <w:tcW w:w="58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2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3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eastAsia"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120</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eastAsia"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7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both"/>
                    <w:textAlignment w:val="center"/>
                    <w:rPr>
                      <w:rFonts w:hint="eastAsia" w:ascii="Times New Roman" w:hAnsi="Times New Roman" w:eastAsia="宋体" w:cs="Times New Roman"/>
                      <w:i w:val="0"/>
                      <w:iCs w:val="0"/>
                      <w:color w:val="FF0000"/>
                      <w:sz w:val="18"/>
                      <w:szCs w:val="18"/>
                      <w:u w:val="none"/>
                      <w:lang w:val="en-US" w:eastAsia="zh-CN"/>
                    </w:rPr>
                  </w:pPr>
                </w:p>
              </w:tc>
              <w:tc>
                <w:tcPr>
                  <w:tcW w:w="315" w:type="dxa"/>
                  <w:vMerge w:val="continue"/>
                  <w:tcBorders>
                    <w:tl2br w:val="nil"/>
                    <w:tr2bl w:val="nil"/>
                  </w:tcBorders>
                  <w:shd w:val="clear" w:color="auto" w:fill="auto"/>
                  <w:tcMar>
                    <w:top w:w="0" w:type="dxa"/>
                    <w:left w:w="0" w:type="dxa"/>
                    <w:bottom w:w="0" w:type="dxa"/>
                    <w:right w:w="0" w:type="dxa"/>
                  </w:tcMar>
                  <w:vAlign w:val="center"/>
                </w:tcPr>
                <w:p>
                  <w:pPr>
                    <w:jc w:val="center"/>
                    <w:rPr>
                      <w:rStyle w:val="628"/>
                      <w:rFonts w:hint="eastAsia" w:ascii="Times New Roman" w:hAnsi="Times New Roman" w:eastAsia="宋体" w:cs="Times New Roman"/>
                      <w:color w:val="FF0000"/>
                      <w:sz w:val="18"/>
                      <w:szCs w:val="18"/>
                      <w:lang w:val="en-US" w:eastAsia="zh-CN" w:bidi="ar"/>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eastAsia="zh-CN"/>
                    </w:rPr>
                    <w:t>氟化物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0.4818 </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0.0193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0.0925 </w:t>
                  </w:r>
                </w:p>
              </w:tc>
              <w:tc>
                <w:tcPr>
                  <w:tcW w:w="4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9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0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0.0048 </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0.0002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2"/>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0.0009 </w:t>
                  </w:r>
                </w:p>
              </w:tc>
              <w:tc>
                <w:tcPr>
                  <w:tcW w:w="58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2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43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eastAsia"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9</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eastAsia"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7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打包粉尘</w:t>
                  </w:r>
                </w:p>
              </w:tc>
              <w:tc>
                <w:tcPr>
                  <w:tcW w:w="315" w:type="dxa"/>
                  <w:vMerge w:val="continue"/>
                  <w:tcBorders>
                    <w:tl2br w:val="nil"/>
                    <w:tr2bl w:val="nil"/>
                  </w:tcBorders>
                  <w:shd w:val="clear" w:color="auto" w:fill="auto"/>
                  <w:tcMar>
                    <w:top w:w="0" w:type="dxa"/>
                    <w:left w:w="0" w:type="dxa"/>
                    <w:bottom w:w="0" w:type="dxa"/>
                    <w:right w:w="0" w:type="dxa"/>
                  </w:tcMar>
                  <w:vAlign w:val="center"/>
                </w:tcPr>
                <w:p>
                  <w:pPr>
                    <w:jc w:val="center"/>
                    <w:rPr>
                      <w:rStyle w:val="628"/>
                      <w:rFonts w:hint="default" w:ascii="Times New Roman" w:hAnsi="Times New Roman" w:eastAsia="宋体" w:cs="Times New Roman"/>
                      <w:color w:val="FF0000"/>
                      <w:sz w:val="18"/>
                      <w:szCs w:val="18"/>
                      <w:lang w:val="en-US" w:eastAsia="zh-CN" w:bidi="ar"/>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sz w:val="18"/>
                      <w:szCs w:val="18"/>
                      <w:u w:val="none"/>
                      <w:lang w:val="en-US" w:eastAsia="zh-CN"/>
                    </w:rPr>
                    <w:t>颗粒物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12.569 </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0.5028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2.4133 </w:t>
                  </w:r>
                </w:p>
              </w:tc>
              <w:tc>
                <w:tcPr>
                  <w:tcW w:w="4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6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95</w:t>
                  </w:r>
                </w:p>
              </w:tc>
              <w:tc>
                <w:tcPr>
                  <w:tcW w:w="49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0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0.1257 </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0.0050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0.0241 </w:t>
                  </w:r>
                </w:p>
              </w:tc>
              <w:tc>
                <w:tcPr>
                  <w:tcW w:w="58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2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3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color w:val="FF0000"/>
                      <w:lang w:val="en-US" w:eastAsia="zh-CN"/>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120</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70" w:type="dxa"/>
                  <w:vMerge w:val="continue"/>
                  <w:tcBorders>
                    <w:tl2br w:val="nil"/>
                    <w:tr2bl w:val="nil"/>
                  </w:tcBorders>
                  <w:shd w:val="clear" w:color="auto" w:fill="auto"/>
                  <w:tcMar>
                    <w:top w:w="0" w:type="dxa"/>
                    <w:left w:w="0" w:type="dxa"/>
                    <w:bottom w:w="0" w:type="dxa"/>
                    <w:right w:w="0" w:type="dxa"/>
                  </w:tcMar>
                  <w:vAlign w:val="center"/>
                </w:tcPr>
                <w:p>
                  <w:pPr>
                    <w:jc w:val="center"/>
                    <w:rPr>
                      <w:rStyle w:val="628"/>
                      <w:rFonts w:hint="default" w:ascii="Times New Roman" w:hAnsi="Times New Roman" w:eastAsia="宋体" w:cs="Times New Roman"/>
                      <w:color w:val="FF0000"/>
                      <w:sz w:val="18"/>
                      <w:szCs w:val="18"/>
                      <w:lang w:val="en-US" w:eastAsia="zh-CN" w:bidi="ar"/>
                    </w:rPr>
                  </w:pPr>
                </w:p>
              </w:tc>
              <w:tc>
                <w:tcPr>
                  <w:tcW w:w="315" w:type="dxa"/>
                  <w:vMerge w:val="continue"/>
                  <w:tcBorders>
                    <w:tl2br w:val="nil"/>
                    <w:tr2bl w:val="nil"/>
                  </w:tcBorders>
                  <w:shd w:val="clear" w:color="auto" w:fill="auto"/>
                  <w:tcMar>
                    <w:top w:w="0" w:type="dxa"/>
                    <w:left w:w="0" w:type="dxa"/>
                    <w:bottom w:w="0" w:type="dxa"/>
                    <w:right w:w="0" w:type="dxa"/>
                  </w:tcMar>
                  <w:vAlign w:val="center"/>
                </w:tcPr>
                <w:p>
                  <w:pPr>
                    <w:jc w:val="center"/>
                    <w:rPr>
                      <w:rStyle w:val="628"/>
                      <w:rFonts w:hint="default" w:ascii="Times New Roman" w:hAnsi="Times New Roman" w:eastAsia="宋体" w:cs="Times New Roman"/>
                      <w:color w:val="FF0000"/>
                      <w:sz w:val="18"/>
                      <w:szCs w:val="18"/>
                      <w:lang w:val="en-US" w:eastAsia="zh-CN" w:bidi="ar"/>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氟化物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0.0458 </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0.0018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0.0088 </w:t>
                  </w:r>
                </w:p>
              </w:tc>
              <w:tc>
                <w:tcPr>
                  <w:tcW w:w="4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9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0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0.0005 </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0.0000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0.0001 </w:t>
                  </w:r>
                </w:p>
              </w:tc>
              <w:tc>
                <w:tcPr>
                  <w:tcW w:w="58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2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3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9</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7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eastAsia="zh-CN"/>
                    </w:rPr>
                    <w:t>食堂油烟</w:t>
                  </w:r>
                </w:p>
              </w:tc>
              <w:tc>
                <w:tcPr>
                  <w:tcW w:w="31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eastAsia="zh-CN"/>
                    </w:rPr>
                    <w:t>食堂油烟</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1.25</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0.0025</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0.003</w:t>
                  </w:r>
                </w:p>
              </w:tc>
              <w:tc>
                <w:tcPr>
                  <w:tcW w:w="48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2000</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100</w:t>
                  </w:r>
                </w:p>
              </w:tc>
              <w:tc>
                <w:tcPr>
                  <w:tcW w:w="49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60</w:t>
                  </w:r>
                </w:p>
              </w:tc>
              <w:tc>
                <w:tcPr>
                  <w:tcW w:w="40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是</w:t>
                  </w:r>
                </w:p>
              </w:tc>
              <w:tc>
                <w:tcPr>
                  <w:tcW w:w="9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油烟净化器</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0.5</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0.001</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0.0012</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引至楼顶排放</w:t>
                  </w:r>
                </w:p>
              </w:tc>
              <w:tc>
                <w:tcPr>
                  <w:tcW w:w="42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eastAsia" w:ascii="Times New Roman" w:hAnsi="Times New Roman" w:eastAsia="宋体" w:cs="Times New Roman"/>
                      <w:color w:val="FF0000"/>
                      <w:sz w:val="18"/>
                      <w:szCs w:val="18"/>
                      <w:lang w:val="en-US" w:eastAsia="zh-CN" w:bidi="ar"/>
                    </w:rPr>
                  </w:pP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w:t>
                  </w:r>
                </w:p>
              </w:tc>
              <w:tc>
                <w:tcPr>
                  <w:tcW w:w="1059"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eastAsia" w:ascii="Times New Roman" w:hAnsi="Times New Roman" w:eastAsia="宋体" w:cs="Times New Roman"/>
                      <w:color w:val="FF0000"/>
                      <w:sz w:val="18"/>
                      <w:szCs w:val="18"/>
                      <w:lang w:val="en-US" w:eastAsia="zh-CN" w:bidi="ar"/>
                    </w:rPr>
                  </w:pPr>
                  <w:r>
                    <w:rPr>
                      <w:rFonts w:hint="default" w:ascii="Times New Roman" w:hAnsi="Times New Roman" w:eastAsia="宋体" w:cs="Times New Roman"/>
                      <w:color w:val="FF0000"/>
                      <w:sz w:val="18"/>
                      <w:szCs w:val="18"/>
                      <w:lang w:val="en-US" w:eastAsia="zh-CN"/>
                    </w:rPr>
                    <w:t>115°</w:t>
                  </w:r>
                  <w:r>
                    <w:rPr>
                      <w:rFonts w:hint="eastAsia" w:ascii="Times New Roman" w:hAnsi="Times New Roman" w:eastAsia="宋体" w:cs="Times New Roman"/>
                      <w:color w:val="FF0000"/>
                      <w:sz w:val="18"/>
                      <w:szCs w:val="18"/>
                      <w:lang w:val="en-US" w:eastAsia="zh-CN"/>
                    </w:rPr>
                    <w:t>26</w:t>
                  </w:r>
                  <w:r>
                    <w:rPr>
                      <w:rFonts w:hint="default" w:ascii="Times New Roman" w:hAnsi="Times New Roman" w:eastAsia="宋体" w:cs="Times New Roman"/>
                      <w:color w:val="FF0000"/>
                      <w:sz w:val="18"/>
                      <w:szCs w:val="18"/>
                      <w:lang w:val="en-US" w:eastAsia="zh-CN"/>
                    </w:rPr>
                    <w:t>′</w:t>
                  </w:r>
                  <w:r>
                    <w:rPr>
                      <w:rFonts w:hint="eastAsia" w:ascii="Times New Roman" w:hAnsi="Times New Roman" w:eastAsia="宋体" w:cs="Times New Roman"/>
                      <w:color w:val="FF0000"/>
                      <w:sz w:val="18"/>
                      <w:szCs w:val="18"/>
                      <w:lang w:val="en-US" w:eastAsia="zh-CN"/>
                    </w:rPr>
                    <w:t>3.214</w:t>
                  </w:r>
                  <w:r>
                    <w:rPr>
                      <w:rFonts w:hint="default" w:ascii="Times New Roman" w:hAnsi="Times New Roman" w:eastAsia="宋体" w:cs="Times New Roman"/>
                      <w:color w:val="FF0000"/>
                      <w:sz w:val="18"/>
                      <w:szCs w:val="18"/>
                      <w:lang w:val="en-US" w:eastAsia="zh-CN"/>
                    </w:rPr>
                    <w:t>″</w:t>
                  </w:r>
                  <w:r>
                    <w:rPr>
                      <w:rFonts w:hint="eastAsia" w:ascii="Times New Roman" w:hAnsi="Times New Roman" w:eastAsia="宋体" w:cs="Times New Roman"/>
                      <w:color w:val="FF0000"/>
                      <w:sz w:val="18"/>
                      <w:szCs w:val="18"/>
                      <w:lang w:val="en-US" w:eastAsia="zh-CN"/>
                    </w:rPr>
                    <w:t>28</w:t>
                  </w:r>
                  <w:r>
                    <w:rPr>
                      <w:rFonts w:hint="default" w:ascii="Times New Roman" w:hAnsi="Times New Roman" w:eastAsia="宋体" w:cs="Times New Roman"/>
                      <w:color w:val="FF0000"/>
                      <w:sz w:val="18"/>
                      <w:szCs w:val="18"/>
                      <w:lang w:val="en-US" w:eastAsia="zh-CN"/>
                    </w:rPr>
                    <w:t>°</w:t>
                  </w:r>
                  <w:r>
                    <w:rPr>
                      <w:rFonts w:hint="eastAsia" w:ascii="Times New Roman" w:hAnsi="Times New Roman" w:eastAsia="宋体" w:cs="Times New Roman"/>
                      <w:color w:val="FF0000"/>
                      <w:sz w:val="18"/>
                      <w:szCs w:val="18"/>
                      <w:lang w:val="en-US" w:eastAsia="zh-CN"/>
                    </w:rPr>
                    <w:t>40</w:t>
                  </w:r>
                  <w:r>
                    <w:rPr>
                      <w:rFonts w:hint="default" w:ascii="Times New Roman" w:hAnsi="Times New Roman" w:eastAsia="宋体" w:cs="Times New Roman"/>
                      <w:color w:val="FF0000"/>
                      <w:sz w:val="18"/>
                      <w:szCs w:val="18"/>
                      <w:lang w:val="en-US" w:eastAsia="zh-CN"/>
                    </w:rPr>
                    <w:t>′</w:t>
                  </w:r>
                  <w:r>
                    <w:rPr>
                      <w:rFonts w:hint="eastAsia" w:ascii="Times New Roman" w:hAnsi="Times New Roman" w:eastAsia="宋体" w:cs="Times New Roman"/>
                      <w:color w:val="FF0000"/>
                      <w:sz w:val="18"/>
                      <w:szCs w:val="18"/>
                      <w:lang w:val="en-US" w:eastAsia="zh-CN"/>
                    </w:rPr>
                    <w:t>33.309</w:t>
                  </w:r>
                  <w:r>
                    <w:rPr>
                      <w:rFonts w:hint="default" w:ascii="Times New Roman" w:hAnsi="Times New Roman" w:eastAsia="宋体" w:cs="Times New Roman"/>
                      <w:color w:val="FF0000"/>
                      <w:sz w:val="18"/>
                      <w:szCs w:val="18"/>
                      <w:lang w:val="en-US" w:eastAsia="zh-CN"/>
                    </w:rPr>
                    <w:t>″</w:t>
                  </w: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2</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7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eastAsia="zh-CN"/>
                    </w:rPr>
                    <w:t>卸料堆场粉尘</w:t>
                  </w:r>
                </w:p>
              </w:tc>
              <w:tc>
                <w:tcPr>
                  <w:tcW w:w="31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r>
                    <w:rPr>
                      <w:rStyle w:val="628"/>
                      <w:rFonts w:hint="default" w:ascii="Times New Roman" w:hAnsi="Times New Roman" w:eastAsia="宋体" w:cs="Times New Roman"/>
                      <w:color w:val="FF0000"/>
                      <w:sz w:val="18"/>
                      <w:szCs w:val="18"/>
                      <w:lang w:val="en-US" w:eastAsia="zh-CN" w:bidi="ar"/>
                    </w:rPr>
                    <w:t>无组织</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eastAsia="zh-CN"/>
                    </w:rPr>
                    <w:t>颗粒物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0.0102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0.0488 </w:t>
                  </w:r>
                </w:p>
              </w:tc>
              <w:tc>
                <w:tcPr>
                  <w:tcW w:w="48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w:t>
                  </w:r>
                </w:p>
              </w:tc>
              <w:tc>
                <w:tcPr>
                  <w:tcW w:w="46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w:t>
                  </w:r>
                </w:p>
              </w:tc>
              <w:tc>
                <w:tcPr>
                  <w:tcW w:w="49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60</w:t>
                  </w:r>
                </w:p>
              </w:tc>
              <w:tc>
                <w:tcPr>
                  <w:tcW w:w="40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是</w:t>
                  </w:r>
                </w:p>
              </w:tc>
              <w:tc>
                <w:tcPr>
                  <w:tcW w:w="96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生产厂房内自然沉降</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0.0041</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0.0195</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1059"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eastAsia="zh-CN"/>
                    </w:rPr>
                    <w:t>排至车间</w:t>
                  </w: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1</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7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p>
              </w:tc>
              <w:tc>
                <w:tcPr>
                  <w:tcW w:w="31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eastAsia="zh-CN"/>
                    </w:rPr>
                    <w:t>氟化物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0.0000</w:t>
                  </w:r>
                  <w:r>
                    <w:rPr>
                      <w:rFonts w:hint="eastAsia" w:ascii="Times New Roman" w:hAnsi="Times New Roman" w:eastAsia="宋体" w:cs="Times New Roman"/>
                      <w:i w:val="0"/>
                      <w:iCs w:val="0"/>
                      <w:color w:val="FF0000"/>
                      <w:kern w:val="0"/>
                      <w:sz w:val="18"/>
                      <w:szCs w:val="18"/>
                      <w:u w:val="none"/>
                      <w:lang w:val="en-US" w:eastAsia="zh-CN" w:bidi="ar"/>
                    </w:rPr>
                    <w:t>4</w:t>
                  </w:r>
                  <w:r>
                    <w:rPr>
                      <w:rFonts w:hint="default" w:ascii="Times New Roman" w:hAnsi="Times New Roman" w:eastAsia="宋体" w:cs="Times New Roman"/>
                      <w:i w:val="0"/>
                      <w:iCs w:val="0"/>
                      <w:color w:val="FF0000"/>
                      <w:kern w:val="0"/>
                      <w:sz w:val="18"/>
                      <w:szCs w:val="18"/>
                      <w:u w:val="none"/>
                      <w:lang w:val="en-US" w:eastAsia="zh-CN" w:bidi="ar"/>
                    </w:rPr>
                    <w:t xml:space="preserve">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0.0002 </w:t>
                  </w:r>
                </w:p>
              </w:tc>
              <w:tc>
                <w:tcPr>
                  <w:tcW w:w="4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9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p>
              </w:tc>
              <w:tc>
                <w:tcPr>
                  <w:tcW w:w="40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default"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0.00002</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8"/>
                      <w:rFonts w:hint="eastAsia" w:ascii="Times New Roman" w:hAnsi="Times New Roman" w:eastAsia="宋体" w:cs="Times New Roman"/>
                      <w:color w:val="FF0000"/>
                      <w:sz w:val="18"/>
                      <w:szCs w:val="18"/>
                      <w:lang w:val="en-US" w:eastAsia="zh-CN" w:bidi="ar"/>
                    </w:rPr>
                  </w:pPr>
                  <w:r>
                    <w:rPr>
                      <w:rStyle w:val="628"/>
                      <w:rFonts w:hint="eastAsia" w:ascii="Times New Roman" w:hAnsi="Times New Roman" w:eastAsia="宋体" w:cs="Times New Roman"/>
                      <w:color w:val="FF0000"/>
                      <w:sz w:val="18"/>
                      <w:szCs w:val="18"/>
                      <w:lang w:val="en-US" w:eastAsia="zh-CN" w:bidi="ar"/>
                    </w:rPr>
                    <w:t>0.0001</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eastAsia" w:ascii="Times New Roman" w:hAnsi="Times New Roman" w:eastAsia="宋体" w:cs="Times New Roman"/>
                      <w:color w:val="FF0000"/>
                      <w:sz w:val="18"/>
                      <w:szCs w:val="18"/>
                      <w:lang w:val="en-US" w:eastAsia="zh-CN" w:bidi="ar"/>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0.02</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Style w:val="629"/>
                      <w:rFonts w:hint="default" w:ascii="Times New Roman" w:hAnsi="Times New Roman" w:eastAsia="宋体" w:cs="Times New Roman"/>
                      <w:color w:val="FF0000"/>
                      <w:sz w:val="18"/>
                      <w:szCs w:val="18"/>
                      <w:lang w:val="en-US" w:eastAsia="zh-CN" w:bidi="ar"/>
                    </w:rPr>
                  </w:pPr>
                  <w:r>
                    <w:rPr>
                      <w:rStyle w:val="629"/>
                      <w:rFonts w:hint="eastAsia" w:ascii="Times New Roman" w:hAnsi="Times New Roman" w:eastAsia="宋体" w:cs="Times New Roman"/>
                      <w:color w:val="FF0000"/>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7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eastAsia="zh-CN"/>
                    </w:rPr>
                    <w:t>破碎粉尘</w:t>
                  </w:r>
                </w:p>
              </w:tc>
              <w:tc>
                <w:tcPr>
                  <w:tcW w:w="31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颗粒物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0.4167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1.0000 </w:t>
                  </w:r>
                </w:p>
              </w:tc>
              <w:tc>
                <w:tcPr>
                  <w:tcW w:w="48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9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0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96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加强通风</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0.4167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1.0000 </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r>
                    <w:rPr>
                      <w:rFonts w:hint="eastAsia" w:ascii="Times New Roman" w:hAnsi="Times New Roman" w:eastAsia="宋体" w:cs="Times New Roman"/>
                      <w:i w:val="0"/>
                      <w:iCs w:val="0"/>
                      <w:color w:val="FF0000"/>
                      <w:sz w:val="18"/>
                      <w:szCs w:val="18"/>
                      <w:u w:val="none"/>
                      <w:lang w:val="en-US" w:eastAsia="zh-CN"/>
                    </w:rPr>
                    <w:t>/</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r>
                    <w:rPr>
                      <w:rFonts w:hint="eastAsia" w:ascii="Times New Roman" w:hAnsi="Times New Roman" w:eastAsia="宋体" w:cs="Times New Roman"/>
                      <w:i w:val="0"/>
                      <w:iCs w:val="0"/>
                      <w:color w:val="FF0000"/>
                      <w:sz w:val="18"/>
                      <w:szCs w:val="18"/>
                      <w:u w:val="none"/>
                      <w:lang w:val="en-US" w:eastAsia="zh-CN"/>
                    </w:rPr>
                    <w:t>/</w:t>
                  </w: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1</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7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r>
                    <w:rPr>
                      <w:rFonts w:hint="eastAsia" w:ascii="Times New Roman" w:hAnsi="Times New Roman" w:eastAsia="宋体" w:cs="Times New Roman"/>
                      <w:i w:val="0"/>
                      <w:iCs w:val="0"/>
                      <w:color w:val="FF0000"/>
                      <w:sz w:val="18"/>
                      <w:szCs w:val="18"/>
                      <w:u w:val="none"/>
                      <w:lang w:eastAsia="zh-CN"/>
                    </w:rPr>
                    <w:t>投料粉尘</w:t>
                  </w:r>
                </w:p>
              </w:tc>
              <w:tc>
                <w:tcPr>
                  <w:tcW w:w="31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颗粒物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0.1059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0.5081 </w:t>
                  </w:r>
                </w:p>
              </w:tc>
              <w:tc>
                <w:tcPr>
                  <w:tcW w:w="48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9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0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0.1059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0.5081 </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r>
                    <w:rPr>
                      <w:rFonts w:hint="eastAsia" w:ascii="Times New Roman" w:hAnsi="Times New Roman" w:eastAsia="宋体" w:cs="Times New Roman"/>
                      <w:i w:val="0"/>
                      <w:iCs w:val="0"/>
                      <w:color w:val="FF0000"/>
                      <w:sz w:val="18"/>
                      <w:szCs w:val="18"/>
                      <w:u w:val="none"/>
                      <w:lang w:val="en-US" w:eastAsia="zh-CN"/>
                    </w:rPr>
                    <w:t>/</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r>
                    <w:rPr>
                      <w:rFonts w:hint="eastAsia" w:ascii="Times New Roman" w:hAnsi="Times New Roman" w:eastAsia="宋体" w:cs="Times New Roman"/>
                      <w:i w:val="0"/>
                      <w:iCs w:val="0"/>
                      <w:color w:val="FF0000"/>
                      <w:sz w:val="18"/>
                      <w:szCs w:val="18"/>
                      <w:u w:val="none"/>
                      <w:lang w:val="en-US" w:eastAsia="zh-CN"/>
                    </w:rPr>
                    <w:t>/</w:t>
                  </w: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1</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7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p>
              </w:tc>
              <w:tc>
                <w:tcPr>
                  <w:tcW w:w="31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氟化物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0.0004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0.0018 </w:t>
                  </w:r>
                </w:p>
              </w:tc>
              <w:tc>
                <w:tcPr>
                  <w:tcW w:w="48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9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0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0.0004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0.0018 </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r>
                    <w:rPr>
                      <w:rFonts w:hint="eastAsia" w:ascii="Times New Roman" w:hAnsi="Times New Roman" w:eastAsia="宋体" w:cs="Times New Roman"/>
                      <w:i w:val="0"/>
                      <w:iCs w:val="0"/>
                      <w:color w:val="FF0000"/>
                      <w:sz w:val="18"/>
                      <w:szCs w:val="18"/>
                      <w:u w:val="none"/>
                      <w:lang w:val="en-US" w:eastAsia="zh-CN"/>
                    </w:rPr>
                    <w:t>/</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r>
                    <w:rPr>
                      <w:rFonts w:hint="eastAsia" w:ascii="Times New Roman" w:hAnsi="Times New Roman" w:eastAsia="宋体" w:cs="Times New Roman"/>
                      <w:i w:val="0"/>
                      <w:iCs w:val="0"/>
                      <w:color w:val="FF0000"/>
                      <w:sz w:val="18"/>
                      <w:szCs w:val="18"/>
                      <w:u w:val="none"/>
                      <w:lang w:val="en-US" w:eastAsia="zh-CN"/>
                    </w:rPr>
                    <w:t>/</w:t>
                  </w: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eastAsia="zh-CN"/>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0.02</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7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成品罐粉尘</w:t>
                  </w:r>
                </w:p>
              </w:tc>
              <w:tc>
                <w:tcPr>
                  <w:tcW w:w="31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颗粒物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5.2927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25.4047 </w:t>
                  </w:r>
                </w:p>
              </w:tc>
              <w:tc>
                <w:tcPr>
                  <w:tcW w:w="48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100</w:t>
                  </w:r>
                </w:p>
              </w:tc>
              <w:tc>
                <w:tcPr>
                  <w:tcW w:w="49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99</w:t>
                  </w:r>
                </w:p>
              </w:tc>
              <w:tc>
                <w:tcPr>
                  <w:tcW w:w="405"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是</w:t>
                  </w:r>
                </w:p>
              </w:tc>
              <w:tc>
                <w:tcPr>
                  <w:tcW w:w="96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设备自带布袋除尘</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0.0529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0.2540 </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1</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7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p>
              </w:tc>
              <w:tc>
                <w:tcPr>
                  <w:tcW w:w="31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氟化物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0.0193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0.0925 </w:t>
                  </w:r>
                </w:p>
              </w:tc>
              <w:tc>
                <w:tcPr>
                  <w:tcW w:w="4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p>
              </w:tc>
              <w:tc>
                <w:tcPr>
                  <w:tcW w:w="46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p>
              </w:tc>
              <w:tc>
                <w:tcPr>
                  <w:tcW w:w="49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p>
              </w:tc>
              <w:tc>
                <w:tcPr>
                  <w:tcW w:w="40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0.0002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0.0009 </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0.02</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7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打包粉尘</w:t>
                  </w:r>
                </w:p>
              </w:tc>
              <w:tc>
                <w:tcPr>
                  <w:tcW w:w="31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颗粒物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0.0265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0.1270 </w:t>
                  </w:r>
                </w:p>
              </w:tc>
              <w:tc>
                <w:tcPr>
                  <w:tcW w:w="48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9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0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960" w:type="dxa"/>
                  <w:vMerge w:val="restart"/>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加强通风</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0.0265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0.1270 </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1</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7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p>
              </w:tc>
              <w:tc>
                <w:tcPr>
                  <w:tcW w:w="315"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rPr>
                  </w:pP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氟化物</w:t>
                  </w: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1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0.0001 </w:t>
                  </w:r>
                </w:p>
              </w:tc>
              <w:tc>
                <w:tcPr>
                  <w:tcW w:w="66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0.0005 </w:t>
                  </w:r>
                </w:p>
              </w:tc>
              <w:tc>
                <w:tcPr>
                  <w:tcW w:w="48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9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0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960"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p>
              </w:tc>
              <w:tc>
                <w:tcPr>
                  <w:tcW w:w="54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69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0.0001 </w:t>
                  </w:r>
                </w:p>
              </w:tc>
              <w:tc>
                <w:tcPr>
                  <w:tcW w:w="55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 xml:space="preserve">0.0005 </w:t>
                  </w:r>
                </w:p>
              </w:tc>
              <w:tc>
                <w:tcPr>
                  <w:tcW w:w="58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6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430"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c>
                <w:tcPr>
                  <w:tcW w:w="1059" w:type="dxa"/>
                  <w:vMerge w:val="continue"/>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p>
              </w:tc>
              <w:tc>
                <w:tcPr>
                  <w:tcW w:w="525"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0.02</w:t>
                  </w:r>
                </w:p>
              </w:tc>
              <w:tc>
                <w:tcPr>
                  <w:tcW w:w="393" w:type="dxa"/>
                  <w:tcBorders>
                    <w:tl2br w:val="nil"/>
                    <w:tr2bl w:val="nil"/>
                  </w:tcBorders>
                  <w:shd w:val="clear" w:color="auto" w:fill="auto"/>
                  <w:tcMar>
                    <w:top w:w="0" w:type="dxa"/>
                    <w:left w:w="0" w:type="dxa"/>
                    <w:bottom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sz w:val="18"/>
                      <w:szCs w:val="18"/>
                      <w:u w:val="none"/>
                      <w:lang w:val="en-US" w:eastAsia="zh-CN"/>
                    </w:rPr>
                  </w:pPr>
                  <w:r>
                    <w:rPr>
                      <w:rFonts w:hint="eastAsia" w:ascii="Times New Roman" w:hAnsi="Times New Roman" w:eastAsia="宋体" w:cs="Times New Roman"/>
                      <w:i w:val="0"/>
                      <w:iCs w:val="0"/>
                      <w:color w:val="FF0000"/>
                      <w:sz w:val="18"/>
                      <w:szCs w:val="18"/>
                      <w:u w:val="none"/>
                      <w:lang w:val="en-US" w:eastAsia="zh-CN"/>
                    </w:rPr>
                    <w:t>/</w:t>
                  </w:r>
                </w:p>
              </w:tc>
            </w:tr>
          </w:tbl>
          <w:p>
            <w:pPr>
              <w:adjustRightInd w:val="0"/>
              <w:snapToGrid w:val="0"/>
              <w:spacing w:line="360" w:lineRule="auto"/>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color w:val="auto"/>
                <w:lang w:eastAsia="zh-CN"/>
              </w:rPr>
              <w:t>表</w:t>
            </w:r>
            <w:r>
              <w:rPr>
                <w:rFonts w:hint="eastAsia" w:ascii="Times New Roman" w:hAnsi="Times New Roman" w:eastAsia="宋体" w:cs="Times New Roman"/>
                <w:b/>
                <w:color w:val="auto"/>
                <w:lang w:val="en-US" w:eastAsia="zh-CN"/>
              </w:rPr>
              <w:t>4-2废气污染源非正常排放汇总表</w:t>
            </w:r>
          </w:p>
          <w:tbl>
            <w:tblPr>
              <w:tblStyle w:val="58"/>
              <w:tblW w:w="11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984"/>
              <w:gridCol w:w="900"/>
              <w:gridCol w:w="750"/>
              <w:gridCol w:w="1483"/>
              <w:gridCol w:w="1317"/>
              <w:gridCol w:w="1133"/>
              <w:gridCol w:w="850"/>
              <w:gridCol w:w="833"/>
              <w:gridCol w:w="2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产排污环节</w:t>
                  </w:r>
                </w:p>
              </w:tc>
              <w:tc>
                <w:tcPr>
                  <w:tcW w:w="98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污染物排放形式</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污染物种类</w:t>
                  </w:r>
                </w:p>
              </w:tc>
              <w:tc>
                <w:tcPr>
                  <w:tcW w:w="355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r>
                    <w:rPr>
                      <w:rFonts w:hint="eastAsia" w:ascii="Times New Roman" w:hAnsi="Times New Roman" w:eastAsia="宋体" w:cs="Times New Roman"/>
                      <w:b w:val="0"/>
                      <w:bCs w:val="0"/>
                      <w:color w:val="FF0000"/>
                      <w:sz w:val="21"/>
                      <w:szCs w:val="21"/>
                      <w:vertAlign w:val="baseline"/>
                      <w:lang w:eastAsia="zh-CN"/>
                    </w:rPr>
                    <w:t>非正常排放频次</w:t>
                  </w:r>
                </w:p>
              </w:tc>
              <w:tc>
                <w:tcPr>
                  <w:tcW w:w="281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r>
                    <w:rPr>
                      <w:rFonts w:hint="eastAsia" w:ascii="Times New Roman" w:hAnsi="Times New Roman" w:eastAsia="宋体" w:cs="Times New Roman"/>
                      <w:b w:val="0"/>
                      <w:bCs w:val="0"/>
                      <w:color w:val="FF0000"/>
                      <w:sz w:val="21"/>
                      <w:szCs w:val="21"/>
                      <w:vertAlign w:val="baseline"/>
                      <w:lang w:eastAsia="zh-CN"/>
                    </w:rPr>
                    <w:t>污染物排放量和浓度</w:t>
                  </w:r>
                </w:p>
              </w:tc>
              <w:tc>
                <w:tcPr>
                  <w:tcW w:w="268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p>
              </w:tc>
              <w:tc>
                <w:tcPr>
                  <w:tcW w:w="9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p>
              </w:tc>
              <w:tc>
                <w:tcPr>
                  <w:tcW w:w="9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次数</w:t>
                  </w:r>
                </w:p>
              </w:tc>
              <w:tc>
                <w:tcPr>
                  <w:tcW w:w="1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单次持续时间</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总排放时间</w:t>
                  </w:r>
                </w:p>
              </w:tc>
              <w:tc>
                <w:tcPr>
                  <w:tcW w:w="113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排放浓度</w:t>
                  </w:r>
                  <w:r>
                    <w:rPr>
                      <w:b w:val="0"/>
                      <w:bCs w:val="0"/>
                      <w:color w:val="FF0000"/>
                      <w:sz w:val="21"/>
                      <w:szCs w:val="21"/>
                    </w:rPr>
                    <w:t>mg/m</w:t>
                  </w:r>
                  <w:r>
                    <w:rPr>
                      <w:b w:val="0"/>
                      <w:bCs w:val="0"/>
                      <w:color w:val="FF0000"/>
                      <w:sz w:val="21"/>
                      <w:szCs w:val="21"/>
                      <w:vertAlign w:val="superscript"/>
                    </w:rPr>
                    <w:t>3</w:t>
                  </w:r>
                </w:p>
              </w:tc>
              <w:tc>
                <w:tcPr>
                  <w:tcW w:w="168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r>
                    <w:rPr>
                      <w:rFonts w:hint="eastAsia" w:ascii="Times New Roman" w:hAnsi="Times New Roman" w:eastAsia="宋体" w:cs="Times New Roman"/>
                      <w:b w:val="0"/>
                      <w:bCs w:val="0"/>
                      <w:color w:val="FF0000"/>
                      <w:sz w:val="21"/>
                      <w:szCs w:val="21"/>
                      <w:vertAlign w:val="baseline"/>
                      <w:lang w:eastAsia="zh-CN"/>
                    </w:rPr>
                    <w:t>排放量</w:t>
                  </w:r>
                </w:p>
              </w:tc>
              <w:tc>
                <w:tcPr>
                  <w:tcW w:w="268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p>
              </w:tc>
              <w:tc>
                <w:tcPr>
                  <w:tcW w:w="9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p>
              </w:tc>
              <w:tc>
                <w:tcPr>
                  <w:tcW w:w="9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eastAsia="zh-CN"/>
                    </w:rPr>
                    <w:t>次</w:t>
                  </w:r>
                  <w:r>
                    <w:rPr>
                      <w:rFonts w:hint="eastAsia" w:ascii="Times New Roman" w:hAnsi="Times New Roman" w:eastAsia="宋体" w:cs="Times New Roman"/>
                      <w:b w:val="0"/>
                      <w:bCs w:val="0"/>
                      <w:color w:val="FF0000"/>
                      <w:sz w:val="21"/>
                      <w:szCs w:val="21"/>
                      <w:vertAlign w:val="baseline"/>
                      <w:lang w:val="en-US" w:eastAsia="zh-CN"/>
                    </w:rPr>
                    <w:t>/年</w:t>
                  </w:r>
                </w:p>
              </w:tc>
              <w:tc>
                <w:tcPr>
                  <w:tcW w:w="1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小时</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小时</w:t>
                  </w:r>
                </w:p>
              </w:tc>
              <w:tc>
                <w:tcPr>
                  <w:tcW w:w="113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Kg/h</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Kg/a</w:t>
                  </w:r>
                </w:p>
              </w:tc>
              <w:tc>
                <w:tcPr>
                  <w:tcW w:w="268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7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DA001</w:t>
                  </w:r>
                </w:p>
              </w:tc>
              <w:tc>
                <w:tcPr>
                  <w:tcW w:w="98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eastAsia="zh-CN"/>
                    </w:rPr>
                    <w:t>有组织</w:t>
                  </w:r>
                </w:p>
              </w:tc>
              <w:tc>
                <w:tcPr>
                  <w:tcW w:w="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r>
                    <w:rPr>
                      <w:rFonts w:hint="eastAsia" w:ascii="Times New Roman" w:hAnsi="Times New Roman" w:eastAsia="宋体" w:cs="Times New Roman"/>
                      <w:b w:val="0"/>
                      <w:bCs w:val="0"/>
                      <w:color w:val="FF0000"/>
                      <w:sz w:val="21"/>
                      <w:szCs w:val="21"/>
                      <w:vertAlign w:val="baseline"/>
                      <w:lang w:eastAsia="zh-CN"/>
                    </w:rPr>
                    <w:t>颗粒物</w:t>
                  </w: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2</w:t>
                  </w:r>
                </w:p>
              </w:tc>
              <w:tc>
                <w:tcPr>
                  <w:tcW w:w="1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2</w:t>
                  </w: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393.08</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15.723</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31.446</w:t>
                  </w:r>
                </w:p>
              </w:tc>
              <w:tc>
                <w:tcPr>
                  <w:tcW w:w="268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r>
                    <w:rPr>
                      <w:b w:val="0"/>
                      <w:bCs w:val="0"/>
                      <w:color w:val="FF0000"/>
                      <w:szCs w:val="21"/>
                    </w:rPr>
                    <w:t>企业应加强管理，一旦废气治理系统故障，立即停产检修，防止事故废气排放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p>
              </w:tc>
              <w:tc>
                <w:tcPr>
                  <w:tcW w:w="9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p>
              </w:tc>
              <w:tc>
                <w:tcPr>
                  <w:tcW w:w="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eastAsia="zh-CN"/>
                    </w:rPr>
                  </w:pPr>
                  <w:r>
                    <w:rPr>
                      <w:rFonts w:hint="eastAsia" w:ascii="Times New Roman" w:hAnsi="Times New Roman" w:eastAsia="宋体" w:cs="Times New Roman"/>
                      <w:b w:val="0"/>
                      <w:bCs w:val="0"/>
                      <w:color w:val="FF0000"/>
                      <w:sz w:val="21"/>
                      <w:szCs w:val="21"/>
                      <w:vertAlign w:val="baseline"/>
                      <w:lang w:eastAsia="zh-CN"/>
                    </w:rPr>
                    <w:t>氟化物</w:t>
                  </w: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2</w:t>
                  </w:r>
                </w:p>
              </w:tc>
              <w:tc>
                <w:tcPr>
                  <w:tcW w:w="1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1</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2</w:t>
                  </w: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0.7107</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0.0284</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0.0568</w:t>
                  </w:r>
                </w:p>
              </w:tc>
              <w:tc>
                <w:tcPr>
                  <w:tcW w:w="268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sz w:val="21"/>
                      <w:szCs w:val="21"/>
                      <w:vertAlign w:val="baseline"/>
                    </w:rPr>
                  </w:pPr>
                </w:p>
              </w:tc>
            </w:tr>
          </w:tbl>
          <w:p>
            <w:pPr>
              <w:adjustRightInd w:val="0"/>
              <w:snapToGrid w:val="0"/>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2、污染源强核算过程</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项目营运期产生的废气主要为</w:t>
            </w:r>
            <w:r>
              <w:rPr>
                <w:rFonts w:hint="eastAsia" w:ascii="Times New Roman" w:hAnsi="Times New Roman" w:eastAsia="宋体" w:cs="Times New Roman"/>
                <w:color w:val="auto"/>
                <w:kern w:val="0"/>
                <w:sz w:val="24"/>
                <w:szCs w:val="24"/>
                <w:lang w:eastAsia="zh-CN"/>
              </w:rPr>
              <w:t>堆场卸料粉尘、破碎粉尘、投料粉尘、研磨粉尘、成品罐粉尘、打包粉尘，食堂油烟。</w:t>
            </w:r>
          </w:p>
          <w:p>
            <w:pPr>
              <w:numPr>
                <w:ilvl w:val="0"/>
                <w:numId w:val="0"/>
              </w:numPr>
              <w:tabs>
                <w:tab w:val="left" w:pos="7930"/>
              </w:tabs>
              <w:spacing w:line="360" w:lineRule="auto"/>
              <w:ind w:firstLine="480" w:firstLineChars="200"/>
              <w:rPr>
                <w:rFonts w:hint="eastAsia"/>
                <w:color w:val="auto"/>
                <w:lang w:val="en-US" w:eastAsia="zh-CN"/>
              </w:rPr>
            </w:pPr>
            <w:r>
              <w:rPr>
                <w:rFonts w:hint="eastAsia" w:ascii="Times New Roman" w:hAnsi="Times New Roman" w:eastAsia="宋体" w:cs="Times New Roman"/>
                <w:color w:val="auto"/>
                <w:sz w:val="24"/>
                <w:szCs w:val="24"/>
                <w:lang w:val="en-US" w:eastAsia="zh-CN"/>
              </w:rPr>
              <w:t>（1）堆场粉尘</w:t>
            </w:r>
            <w:r>
              <w:rPr>
                <w:rFonts w:hint="eastAsia" w:ascii="Times New Roman" w:hAnsi="Times New Roman" w:eastAsia="宋体" w:cs="Times New Roman"/>
                <w:color w:val="auto"/>
                <w:sz w:val="24"/>
                <w:szCs w:val="24"/>
                <w:lang w:val="en-US" w:eastAsia="zh-CN"/>
              </w:rPr>
              <w:tab/>
            </w:r>
          </w:p>
          <w:p>
            <w:pPr>
              <w:numPr>
                <w:ilvl w:val="0"/>
                <w:numId w:val="0"/>
              </w:numPr>
              <w:spacing w:line="360" w:lineRule="auto"/>
              <w:ind w:firstLine="480" w:firstLineChars="200"/>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本项目原料氟石膏用量25万吨、天然石膏8万吨及石灰石18万吨。项目所需原料运至生产厂房原料堆场间卸料、堆放过程中会产生卸料粉尘。卸料、堆场粉尘参考山西环保科研所、武汉水运工程学院提出的经验公式进行估算，经验公式为：</w:t>
            </w:r>
          </w:p>
          <w:p>
            <w:pPr>
              <w:pStyle w:val="74"/>
              <w:jc w:val="center"/>
              <w:rPr>
                <w:color w:val="auto"/>
              </w:rPr>
            </w:pPr>
            <w:r>
              <w:rPr>
                <w:color w:val="auto"/>
              </w:rPr>
              <w:drawing>
                <wp:inline distT="0" distB="0" distL="114300" distR="114300">
                  <wp:extent cx="1952625" cy="728980"/>
                  <wp:effectExtent l="0" t="0" r="9525" b="139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2"/>
                          <a:stretch>
                            <a:fillRect/>
                          </a:stretch>
                        </pic:blipFill>
                        <pic:spPr>
                          <a:xfrm>
                            <a:off x="0" y="0"/>
                            <a:ext cx="1952625" cy="728980"/>
                          </a:xfrm>
                          <a:prstGeom prst="rect">
                            <a:avLst/>
                          </a:prstGeom>
                          <a:noFill/>
                          <a:ln>
                            <a:noFill/>
                          </a:ln>
                        </pic:spPr>
                      </pic:pic>
                    </a:graphicData>
                  </a:graphic>
                </wp:inline>
              </w:drawing>
            </w:r>
          </w:p>
          <w:p>
            <w:pPr>
              <w:numPr>
                <w:ilvl w:val="0"/>
                <w:numId w:val="0"/>
              </w:numPr>
              <w:spacing w:line="360" w:lineRule="auto"/>
              <w:ind w:firstLine="480" w:firstLineChars="200"/>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式中：Q--自卸车卸料起尘量，g/a；</w:t>
            </w:r>
          </w:p>
          <w:p>
            <w:pPr>
              <w:numPr>
                <w:ilvl w:val="0"/>
                <w:numId w:val="0"/>
              </w:numPr>
              <w:spacing w:line="360" w:lineRule="auto"/>
              <w:ind w:firstLine="480" w:firstLineChars="200"/>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U--平均风速，m/s，原料堆场内风速取0.4m/s；</w:t>
            </w:r>
          </w:p>
          <w:p>
            <w:pPr>
              <w:numPr>
                <w:ilvl w:val="0"/>
                <w:numId w:val="0"/>
              </w:numPr>
              <w:spacing w:line="360" w:lineRule="auto"/>
              <w:ind w:firstLine="480" w:firstLineChars="200"/>
              <w:rPr>
                <w:rFonts w:hint="default"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M--汽车卸料量，t/a。</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通过计算可知，项目原料堆场内氟石膏粉尘量约为0.024t/a，天然石膏粉尘量约为0.008t/a，石灰石粉尘量约为0.017t/a。原料卸料、堆放过程中产生的粉尘可大量沉降于生产厂房内，约占粉尘产生量的60%，其余40%的粉尘通过车辆进出口及通风窗呈无组织排放至厂房外。则氟石膏排放量为0.0096t/a，天然石膏排放量为0.0032t/a，石灰石排放量为0.0068t/a。</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其中根据化学成分分析可知，原料氟石膏中F含量为0.74%，经折算氟化物产生量为0.00018t/a，排放量为0.00007t/a。故，原料卸料堆放工序中卸料堆场粉尘（颗粒物）无组织排放量为0.0095t/a，其中氟化物无组织排放量为0.0001t/a。</w:t>
            </w:r>
          </w:p>
          <w:p>
            <w:pPr>
              <w:numPr>
                <w:ilvl w:val="0"/>
                <w:numId w:val="0"/>
              </w:numPr>
              <w:tabs>
                <w:tab w:val="left" w:pos="7930"/>
              </w:tabs>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（2）破碎粉尘</w:t>
            </w:r>
          </w:p>
          <w:p>
            <w:pPr>
              <w:pStyle w:val="75"/>
              <w:numPr>
                <w:ilvl w:val="0"/>
                <w:numId w:val="0"/>
              </w:numPr>
              <w:ind w:firstLine="480" w:firstLineChars="200"/>
              <w:rPr>
                <w:rFonts w:hint="default"/>
                <w:color w:val="auto"/>
                <w:lang w:val="en-US" w:eastAsia="zh-CN"/>
              </w:rPr>
            </w:pPr>
            <w:r>
              <w:rPr>
                <w:rFonts w:hint="eastAsia" w:ascii="Times New Roman" w:hAnsi="Times New Roman" w:eastAsia="宋体" w:cs="Times New Roman"/>
                <w:color w:val="auto"/>
                <w:kern w:val="0"/>
                <w:sz w:val="24"/>
                <w:szCs w:val="24"/>
                <w:lang w:val="en-US" w:eastAsia="zh-CN"/>
              </w:rPr>
              <w:t>本项目天然石膏为大块原料，需单独进行破碎处理。</w:t>
            </w:r>
            <w:r>
              <w:rPr>
                <w:rFonts w:hint="eastAsia" w:ascii="Times New Roman" w:hAnsi="Times New Roman" w:eastAsia="宋体" w:cs="Times New Roman"/>
                <w:color w:val="FF0000"/>
                <w:kern w:val="0"/>
                <w:sz w:val="24"/>
                <w:szCs w:val="24"/>
                <w:lang w:val="en-US" w:eastAsia="zh-CN"/>
              </w:rPr>
              <w:t>天然石膏经鄂破+锤破过程中会产生一定的破碎粉尘。根据</w:t>
            </w:r>
            <w:r>
              <w:rPr>
                <w:rFonts w:hint="default" w:ascii="Times New Roman" w:hAnsi="Times New Roman" w:eastAsia="宋体" w:cs="Times New Roman"/>
                <w:color w:val="FF0000"/>
                <w:kern w:val="0"/>
                <w:sz w:val="24"/>
                <w:szCs w:val="24"/>
                <w:lang w:eastAsia="zh-CN"/>
              </w:rPr>
              <w:t>《逸散性工业粉尘控制技术》（中国环境科学出版社），粉尘排放因子为</w:t>
            </w:r>
            <w:r>
              <w:rPr>
                <w:rFonts w:hint="eastAsia" w:ascii="Times New Roman" w:hAnsi="Times New Roman" w:cs="Times New Roman"/>
                <w:color w:val="FF0000"/>
                <w:kern w:val="0"/>
                <w:sz w:val="24"/>
                <w:szCs w:val="24"/>
                <w:lang w:val="en-US" w:eastAsia="zh-CN"/>
              </w:rPr>
              <w:t>0.25</w:t>
            </w:r>
            <w:r>
              <w:rPr>
                <w:rFonts w:hint="default" w:ascii="Times New Roman" w:hAnsi="Times New Roman" w:eastAsia="宋体" w:cs="Times New Roman"/>
                <w:color w:val="FF0000"/>
                <w:kern w:val="0"/>
                <w:sz w:val="24"/>
                <w:szCs w:val="24"/>
                <w:lang w:eastAsia="zh-CN"/>
              </w:rPr>
              <w:t>kg/t（</w:t>
            </w:r>
            <w:r>
              <w:rPr>
                <w:rFonts w:hint="eastAsia" w:ascii="Times New Roman" w:hAnsi="Times New Roman" w:eastAsia="宋体" w:cs="Times New Roman"/>
                <w:color w:val="FF0000"/>
                <w:kern w:val="0"/>
                <w:sz w:val="24"/>
                <w:szCs w:val="24"/>
                <w:lang w:eastAsia="zh-CN"/>
              </w:rPr>
              <w:t>碎料</w:t>
            </w:r>
            <w:r>
              <w:rPr>
                <w:rFonts w:hint="default" w:ascii="Times New Roman" w:hAnsi="Times New Roman" w:eastAsia="宋体" w:cs="Times New Roman"/>
                <w:color w:val="FF0000"/>
                <w:kern w:val="0"/>
                <w:sz w:val="24"/>
                <w:szCs w:val="24"/>
                <w:lang w:eastAsia="zh-CN"/>
              </w:rPr>
              <w:t>）</w:t>
            </w:r>
            <w:r>
              <w:rPr>
                <w:rFonts w:hint="eastAsia" w:ascii="Times New Roman" w:hAnsi="Times New Roman" w:eastAsia="宋体" w:cs="Times New Roman"/>
                <w:color w:val="FF0000"/>
                <w:kern w:val="0"/>
                <w:sz w:val="24"/>
                <w:szCs w:val="24"/>
                <w:lang w:eastAsia="zh-CN"/>
              </w:rPr>
              <w:t>，则天然石膏破碎过程中粉尘产生量为</w:t>
            </w:r>
            <w:r>
              <w:rPr>
                <w:rFonts w:hint="eastAsia" w:ascii="Times New Roman" w:hAnsi="Times New Roman" w:cs="Times New Roman"/>
                <w:color w:val="FF0000"/>
                <w:kern w:val="0"/>
                <w:sz w:val="24"/>
                <w:szCs w:val="24"/>
                <w:lang w:val="en-US" w:eastAsia="zh-CN"/>
              </w:rPr>
              <w:t>20</w:t>
            </w:r>
            <w:r>
              <w:rPr>
                <w:rFonts w:hint="eastAsia" w:ascii="Times New Roman" w:hAnsi="Times New Roman" w:eastAsia="宋体" w:cs="Times New Roman"/>
                <w:color w:val="FF0000"/>
                <w:kern w:val="0"/>
                <w:sz w:val="24"/>
                <w:szCs w:val="24"/>
                <w:lang w:val="en-US" w:eastAsia="zh-CN"/>
              </w:rPr>
              <w:t>t/a。</w:t>
            </w:r>
            <w:r>
              <w:rPr>
                <w:rFonts w:hint="eastAsia" w:ascii="Times New Roman" w:hAnsi="Times New Roman" w:eastAsia="宋体" w:cs="Times New Roman"/>
                <w:color w:val="auto"/>
                <w:kern w:val="0"/>
                <w:sz w:val="24"/>
                <w:szCs w:val="24"/>
                <w:lang w:val="en-US" w:eastAsia="zh-CN"/>
              </w:rPr>
              <w:t>项目破碎过程中产生粉尘通过负压收集+布袋除尘+15m高DA001排气筒排放，</w:t>
            </w:r>
            <w:r>
              <w:rPr>
                <w:rFonts w:hint="eastAsia" w:ascii="Times New Roman" w:hAnsi="Times New Roman" w:cs="Times New Roman"/>
                <w:color w:val="auto"/>
                <w:sz w:val="24"/>
                <w:szCs w:val="24"/>
                <w:vertAlign w:val="baseline"/>
                <w:lang w:val="en-US" w:eastAsia="zh-CN"/>
              </w:rPr>
              <w:t>收集效率为95%，处理效率为99%，风量为40000m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/h，破碎工序日工作时间8h，每年工作300天，则年工作时间为2400h。则本项目破碎粉尘有组织产生量为19t/a（7.92kg/h），破碎粉尘有组织排放量为0.19t/a（0.079kg/h），排放浓度为1.98mg/m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。无组织产生量为1t/a（0.417kg/h）。</w:t>
            </w:r>
          </w:p>
          <w:p>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（3）投料粉尘</w:t>
            </w:r>
          </w:p>
          <w:p>
            <w:pPr>
              <w:spacing w:line="360" w:lineRule="auto"/>
              <w:ind w:firstLine="480" w:firstLineChars="200"/>
              <w:rPr>
                <w:rFonts w:hint="eastAsia" w:ascii="Times New Roman" w:hAnsi="Times New Roman" w:cs="Times New Roman"/>
                <w:color w:val="FF0000"/>
                <w:sz w:val="24"/>
                <w:szCs w:val="24"/>
                <w:vertAlign w:val="baseline"/>
                <w:lang w:val="en-US" w:eastAsia="zh-CN"/>
              </w:rPr>
            </w:pPr>
            <w:r>
              <w:rPr>
                <w:rFonts w:hint="eastAsia" w:ascii="Times New Roman" w:hAnsi="Times New Roman" w:eastAsia="宋体" w:cs="Times New Roman"/>
                <w:color w:val="FF0000"/>
                <w:sz w:val="24"/>
                <w:szCs w:val="24"/>
                <w:lang w:val="en-US" w:eastAsia="zh-CN"/>
              </w:rPr>
              <w:t>本项目原料氟石膏、破碎后的天然石膏及石灰石经铲车运输至原料料斗进行投料工序。</w:t>
            </w:r>
            <w:r>
              <w:rPr>
                <w:rFonts w:hint="eastAsia" w:ascii="Times New Roman" w:hAnsi="Times New Roman" w:eastAsia="宋体" w:cs="Times New Roman"/>
                <w:color w:val="FF0000"/>
                <w:kern w:val="0"/>
                <w:sz w:val="24"/>
                <w:szCs w:val="24"/>
                <w:lang w:val="en-US" w:eastAsia="zh-CN"/>
              </w:rPr>
              <w:t>根据</w:t>
            </w:r>
            <w:r>
              <w:rPr>
                <w:rFonts w:hint="default" w:ascii="Times New Roman" w:hAnsi="Times New Roman" w:eastAsia="宋体" w:cs="Times New Roman"/>
                <w:color w:val="FF0000"/>
                <w:kern w:val="0"/>
                <w:sz w:val="24"/>
                <w:szCs w:val="24"/>
                <w:lang w:eastAsia="zh-CN"/>
              </w:rPr>
              <w:t>《逸散性工业粉尘控制技术》（中国环境科学出版社），粉尘排放因子为</w:t>
            </w:r>
            <w:r>
              <w:rPr>
                <w:rFonts w:hint="eastAsia" w:ascii="Times New Roman" w:hAnsi="Times New Roman" w:eastAsia="宋体" w:cs="Times New Roman"/>
                <w:color w:val="FF0000"/>
                <w:kern w:val="0"/>
                <w:sz w:val="24"/>
                <w:szCs w:val="24"/>
                <w:lang w:val="en-US" w:eastAsia="zh-CN"/>
              </w:rPr>
              <w:t>0.02</w:t>
            </w:r>
            <w:r>
              <w:rPr>
                <w:rFonts w:hint="default" w:ascii="Times New Roman" w:hAnsi="Times New Roman" w:eastAsia="宋体" w:cs="Times New Roman"/>
                <w:color w:val="FF0000"/>
                <w:kern w:val="0"/>
                <w:sz w:val="24"/>
                <w:szCs w:val="24"/>
                <w:lang w:eastAsia="zh-CN"/>
              </w:rPr>
              <w:t>kg/t</w:t>
            </w:r>
            <w:r>
              <w:rPr>
                <w:rFonts w:hint="eastAsia" w:ascii="Times New Roman" w:hAnsi="Times New Roman" w:eastAsia="宋体" w:cs="Times New Roman"/>
                <w:color w:val="FF0000"/>
                <w:kern w:val="0"/>
                <w:sz w:val="24"/>
                <w:szCs w:val="24"/>
                <w:lang w:eastAsia="zh-CN"/>
              </w:rPr>
              <w:t>（装料）。则氟石膏投料过程中粉尘产生量为</w:t>
            </w:r>
            <w:r>
              <w:rPr>
                <w:rFonts w:hint="eastAsia" w:ascii="Times New Roman" w:hAnsi="Times New Roman" w:eastAsia="宋体" w:cs="Times New Roman"/>
                <w:color w:val="FF0000"/>
                <w:kern w:val="0"/>
                <w:sz w:val="24"/>
                <w:szCs w:val="24"/>
                <w:lang w:val="en-US" w:eastAsia="zh-CN"/>
              </w:rPr>
              <w:t>5t/a；</w:t>
            </w:r>
            <w:r>
              <w:rPr>
                <w:rFonts w:hint="eastAsia" w:ascii="Times New Roman" w:hAnsi="Times New Roman" w:eastAsia="宋体" w:cs="Times New Roman"/>
                <w:color w:val="FF0000"/>
                <w:kern w:val="0"/>
                <w:sz w:val="24"/>
                <w:szCs w:val="24"/>
                <w:lang w:eastAsia="zh-CN"/>
              </w:rPr>
              <w:t>天然石膏投料过程中粉尘产生量为</w:t>
            </w:r>
            <w:r>
              <w:rPr>
                <w:rFonts w:hint="eastAsia" w:ascii="Times New Roman" w:hAnsi="Times New Roman" w:eastAsia="宋体" w:cs="Times New Roman"/>
                <w:color w:val="FF0000"/>
                <w:kern w:val="0"/>
                <w:sz w:val="24"/>
                <w:szCs w:val="24"/>
                <w:lang w:val="en-US" w:eastAsia="zh-CN"/>
              </w:rPr>
              <w:t>1.5996t/a；石灰石投料过程中粉尘产生量为3.6t/a。投料粉尘经负压收集+布袋除尘+15m高DA001排气筒排放。收集效率为95%，处理效率为99%，风量为40000</w:t>
            </w:r>
            <w:r>
              <w:rPr>
                <w:rFonts w:hint="eastAsia" w:ascii="Times New Roman" w:hAnsi="Times New Roman" w:cs="Times New Roman"/>
                <w:color w:val="FF0000"/>
                <w:sz w:val="24"/>
                <w:szCs w:val="24"/>
                <w:vertAlign w:val="baseline"/>
                <w:lang w:val="en-US" w:eastAsia="zh-CN"/>
              </w:rPr>
              <w:t>m</w:t>
            </w:r>
            <w:r>
              <w:rPr>
                <w:rFonts w:hint="eastAsia" w:ascii="Times New Roman" w:hAnsi="Times New Roman" w:cs="Times New Roman"/>
                <w:color w:val="FF0000"/>
                <w:sz w:val="24"/>
                <w:szCs w:val="24"/>
                <w:vertAlign w:val="superscript"/>
                <w:lang w:val="en-US" w:eastAsia="zh-CN"/>
              </w:rPr>
              <w:t>3</w:t>
            </w:r>
            <w:r>
              <w:rPr>
                <w:rFonts w:hint="eastAsia" w:ascii="Times New Roman" w:hAnsi="Times New Roman" w:cs="Times New Roman"/>
                <w:color w:val="FF0000"/>
                <w:sz w:val="24"/>
                <w:szCs w:val="24"/>
                <w:vertAlign w:val="baseline"/>
                <w:lang w:val="en-US" w:eastAsia="zh-CN"/>
              </w:rPr>
              <w:t>/h，项目年工作4800h。</w:t>
            </w:r>
          </w:p>
          <w:p>
            <w:pPr>
              <w:spacing w:line="360" w:lineRule="auto"/>
              <w:ind w:firstLine="480" w:firstLineChars="200"/>
              <w:rPr>
                <w:rFonts w:hint="default" w:ascii="Times New Roman" w:hAnsi="Times New Roman" w:cs="Times New Roman" w:eastAsiaTheme="minorEastAsia"/>
                <w:color w:val="FF0000"/>
                <w:sz w:val="24"/>
                <w:szCs w:val="24"/>
                <w:vertAlign w:val="baseline"/>
                <w:lang w:val="en-US" w:eastAsia="zh-CN"/>
              </w:rPr>
            </w:pPr>
            <w:r>
              <w:rPr>
                <w:rFonts w:hint="eastAsia" w:ascii="Times New Roman" w:hAnsi="Times New Roman" w:cs="Times New Roman"/>
                <w:color w:val="FF0000"/>
                <w:sz w:val="24"/>
                <w:szCs w:val="24"/>
                <w:vertAlign w:val="baseline"/>
                <w:lang w:val="en-US" w:eastAsia="zh-CN"/>
              </w:rPr>
              <w:t>氟石膏投料粉尘颗粒物有组织产生量为4.7148t/a（0.9823kg/h），有组织排放量为0.0471t/a（0.0098kg/h），排放浓度为0.2458mg/m</w:t>
            </w:r>
            <w:r>
              <w:rPr>
                <w:rFonts w:hint="eastAsia" w:ascii="Times New Roman" w:hAnsi="Times New Roman" w:cs="Times New Roman"/>
                <w:color w:val="FF0000"/>
                <w:sz w:val="24"/>
                <w:szCs w:val="24"/>
                <w:vertAlign w:val="superscript"/>
                <w:lang w:val="en-US" w:eastAsia="zh-CN"/>
              </w:rPr>
              <w:t>3</w:t>
            </w:r>
            <w:r>
              <w:rPr>
                <w:rFonts w:hint="eastAsia" w:ascii="Times New Roman" w:hAnsi="Times New Roman" w:cs="Times New Roman"/>
                <w:color w:val="FF0000"/>
                <w:sz w:val="24"/>
                <w:szCs w:val="24"/>
                <w:vertAlign w:val="baseline"/>
                <w:lang w:val="en-US" w:eastAsia="zh-CN"/>
              </w:rPr>
              <w:t>。无组织排放量为0.2481t/a（0.0517kg/h）。投料粉尘氟化物有组织产生量为0.0351t/a（0.0073kg/h），有组织排放量为0.0004t/a（0.0001kg/h），排放浓度为0.0018mg/m</w:t>
            </w:r>
            <w:r>
              <w:rPr>
                <w:rFonts w:hint="eastAsia" w:ascii="Times New Roman" w:hAnsi="Times New Roman" w:cs="Times New Roman"/>
                <w:color w:val="FF0000"/>
                <w:sz w:val="24"/>
                <w:szCs w:val="24"/>
                <w:vertAlign w:val="superscript"/>
                <w:lang w:val="en-US" w:eastAsia="zh-CN"/>
              </w:rPr>
              <w:t>3</w:t>
            </w:r>
            <w:r>
              <w:rPr>
                <w:rFonts w:hint="eastAsia" w:ascii="Times New Roman" w:hAnsi="Times New Roman" w:cs="Times New Roman"/>
                <w:color w:val="FF0000"/>
                <w:sz w:val="24"/>
                <w:szCs w:val="24"/>
                <w:vertAlign w:val="baseline"/>
                <w:lang w:val="en-US" w:eastAsia="zh-CN"/>
              </w:rPr>
              <w:t>。无组织排放量为0.0018t/a，排放速率为0.0004kg/h。</w:t>
            </w:r>
          </w:p>
          <w:p>
            <w:pPr>
              <w:spacing w:line="360" w:lineRule="auto"/>
              <w:ind w:firstLine="480" w:firstLineChars="200"/>
              <w:rPr>
                <w:rFonts w:hint="default"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FF0000"/>
                <w:kern w:val="0"/>
                <w:sz w:val="24"/>
                <w:szCs w:val="24"/>
                <w:lang w:val="en-US" w:eastAsia="zh-CN"/>
              </w:rPr>
              <w:t>天然石膏投料粉尘颗粒物有组织产生量为1.5196t/a（0.3166kg/h），有组织排放量为0.0152t/a（0.0032kg/h），排放浓度为0.0791mg/m</w:t>
            </w:r>
            <w:r>
              <w:rPr>
                <w:rFonts w:hint="eastAsia" w:ascii="Times New Roman" w:hAnsi="Times New Roman" w:eastAsia="宋体" w:cs="Times New Roman"/>
                <w:color w:val="FF0000"/>
                <w:kern w:val="0"/>
                <w:sz w:val="24"/>
                <w:szCs w:val="24"/>
                <w:vertAlign w:val="superscript"/>
                <w:lang w:val="en-US" w:eastAsia="zh-CN"/>
              </w:rPr>
              <w:t>3</w:t>
            </w:r>
            <w:r>
              <w:rPr>
                <w:rFonts w:hint="eastAsia" w:ascii="Times New Roman" w:hAnsi="Times New Roman" w:eastAsia="宋体" w:cs="Times New Roman"/>
                <w:color w:val="FF0000"/>
                <w:kern w:val="0"/>
                <w:sz w:val="24"/>
                <w:szCs w:val="24"/>
                <w:lang w:val="en-US" w:eastAsia="zh-CN"/>
              </w:rPr>
              <w:t>。无组织排放量为0.08t/a（0.0167kg/h）。</w:t>
            </w:r>
          </w:p>
          <w:p>
            <w:pPr>
              <w:spacing w:line="360" w:lineRule="auto"/>
              <w:ind w:firstLine="480" w:firstLineChars="200"/>
              <w:rPr>
                <w:rFonts w:hint="eastAsia"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FF0000"/>
                <w:kern w:val="0"/>
                <w:sz w:val="24"/>
                <w:szCs w:val="24"/>
                <w:lang w:val="en-US" w:eastAsia="zh-CN"/>
              </w:rPr>
              <w:t>石灰石投料粉尘颗粒物有组织产生量为3.42t/a（0.7125kg/h），有组织排放量为0.0342t/a（0.0071kg/h），排放浓度为0.1781mg/m</w:t>
            </w:r>
            <w:r>
              <w:rPr>
                <w:rFonts w:hint="eastAsia" w:ascii="Times New Roman" w:hAnsi="Times New Roman" w:eastAsia="宋体" w:cs="Times New Roman"/>
                <w:color w:val="FF0000"/>
                <w:kern w:val="0"/>
                <w:sz w:val="24"/>
                <w:szCs w:val="24"/>
                <w:vertAlign w:val="superscript"/>
                <w:lang w:val="en-US" w:eastAsia="zh-CN"/>
              </w:rPr>
              <w:t>3</w:t>
            </w:r>
            <w:r>
              <w:rPr>
                <w:rFonts w:hint="eastAsia" w:ascii="Times New Roman" w:hAnsi="Times New Roman" w:eastAsia="宋体" w:cs="Times New Roman"/>
                <w:color w:val="FF0000"/>
                <w:kern w:val="0"/>
                <w:sz w:val="24"/>
                <w:szCs w:val="24"/>
                <w:lang w:val="en-US" w:eastAsia="zh-CN"/>
              </w:rPr>
              <w:t>。无组织排放量为0.18t/a（0.0375kg/h）。</w:t>
            </w:r>
          </w:p>
          <w:p>
            <w:pPr>
              <w:pStyle w:val="75"/>
              <w:numPr>
                <w:ilvl w:val="0"/>
                <w:numId w:val="0"/>
              </w:numPr>
              <w:ind w:leftChars="200"/>
              <w:rPr>
                <w:rFonts w:hint="default" w:ascii="Times New Roman" w:hAnsi="Times New Roman" w:eastAsia="宋体" w:cs="Times New Roman"/>
                <w:color w:val="FF0000"/>
                <w:sz w:val="24"/>
                <w:szCs w:val="24"/>
                <w:vertAlign w:val="baseline"/>
                <w:lang w:val="en-US" w:eastAsia="zh-CN"/>
              </w:rPr>
            </w:pPr>
            <w:r>
              <w:rPr>
                <w:rFonts w:hint="default" w:ascii="Times New Roman" w:hAnsi="Times New Roman" w:eastAsia="宋体" w:cs="Times New Roman"/>
                <w:color w:val="FF0000"/>
                <w:sz w:val="24"/>
                <w:szCs w:val="24"/>
                <w:lang w:val="en-US" w:eastAsia="zh-CN"/>
              </w:rPr>
              <w:t>（</w:t>
            </w:r>
            <w:r>
              <w:rPr>
                <w:rFonts w:hint="eastAsia" w:ascii="Times New Roman" w:hAnsi="Times New Roman" w:cs="Times New Roman"/>
                <w:color w:val="FF0000"/>
                <w:sz w:val="24"/>
                <w:szCs w:val="24"/>
                <w:lang w:val="en-US" w:eastAsia="zh-CN"/>
              </w:rPr>
              <w:t>5</w:t>
            </w:r>
            <w:r>
              <w:rPr>
                <w:rFonts w:hint="default" w:ascii="Times New Roman" w:hAnsi="Times New Roman" w:eastAsia="宋体" w:cs="Times New Roman"/>
                <w:color w:val="FF0000"/>
                <w:sz w:val="24"/>
                <w:szCs w:val="24"/>
                <w:lang w:val="en-US" w:eastAsia="zh-CN"/>
              </w:rPr>
              <w:t>）</w:t>
            </w:r>
            <w:r>
              <w:rPr>
                <w:rFonts w:hint="eastAsia" w:ascii="Times New Roman" w:hAnsi="Times New Roman" w:cs="Times New Roman"/>
                <w:color w:val="FF0000"/>
                <w:sz w:val="24"/>
                <w:szCs w:val="24"/>
                <w:vertAlign w:val="baseline"/>
                <w:lang w:val="en-US" w:eastAsia="zh-CN"/>
              </w:rPr>
              <w:t>研磨粉尘</w:t>
            </w:r>
          </w:p>
          <w:p>
            <w:pPr>
              <w:spacing w:line="360" w:lineRule="auto"/>
              <w:ind w:firstLine="480" w:firstLineChars="200"/>
              <w:rPr>
                <w:rFonts w:hint="eastAsia" w:ascii="Times New Roman" w:hAnsi="Times New Roman" w:cs="Times New Roman"/>
                <w:color w:val="FF0000"/>
                <w:sz w:val="24"/>
                <w:szCs w:val="24"/>
                <w:vertAlign w:val="baseline"/>
                <w:lang w:val="en-US" w:eastAsia="zh-CN"/>
              </w:rPr>
            </w:pPr>
            <w:r>
              <w:rPr>
                <w:rFonts w:hint="eastAsia" w:ascii="Times New Roman" w:hAnsi="Times New Roman" w:cs="Times New Roman"/>
                <w:color w:val="FF0000"/>
                <w:sz w:val="24"/>
                <w:szCs w:val="24"/>
                <w:vertAlign w:val="baseline"/>
                <w:lang w:val="en-US" w:eastAsia="zh-CN"/>
              </w:rPr>
              <w:t>本项目</w:t>
            </w:r>
            <w:r>
              <w:rPr>
                <w:rFonts w:hint="eastAsia" w:ascii="Times New Roman" w:hAnsi="Times New Roman" w:eastAsia="宋体" w:cs="Times New Roman"/>
                <w:color w:val="FF0000"/>
                <w:sz w:val="24"/>
                <w:szCs w:val="24"/>
                <w:lang w:val="en-US" w:eastAsia="zh-CN"/>
              </w:rPr>
              <w:t>原料氟石膏、破碎后的天然石膏及石灰石经投料工序进入料斗后通过密闭管道</w:t>
            </w:r>
            <w:r>
              <w:rPr>
                <w:rFonts w:hint="eastAsia" w:ascii="Times New Roman" w:hAnsi="Times New Roman" w:cs="Times New Roman"/>
                <w:color w:val="FF0000"/>
                <w:sz w:val="24"/>
                <w:szCs w:val="24"/>
                <w:vertAlign w:val="baseline"/>
                <w:lang w:val="en-US" w:eastAsia="zh-CN"/>
              </w:rPr>
              <w:t>输送至研磨机内进行研磨，研磨结束后细度达到100目的成品氟石膏粉、天然石膏粉及碳酸钙通过密闭管道输送至成品罐内储存。</w:t>
            </w:r>
            <w:r>
              <w:rPr>
                <w:rFonts w:hint="eastAsia" w:ascii="Times New Roman" w:hAnsi="Times New Roman" w:eastAsia="宋体" w:cs="Times New Roman"/>
                <w:color w:val="FF0000"/>
                <w:kern w:val="0"/>
                <w:sz w:val="24"/>
                <w:szCs w:val="24"/>
                <w:lang w:val="en-US" w:eastAsia="zh-CN"/>
              </w:rPr>
              <w:t>根据</w:t>
            </w:r>
            <w:r>
              <w:rPr>
                <w:rFonts w:hint="default" w:ascii="Times New Roman" w:hAnsi="Times New Roman" w:eastAsia="宋体" w:cs="Times New Roman"/>
                <w:color w:val="FF0000"/>
                <w:kern w:val="0"/>
                <w:sz w:val="24"/>
                <w:szCs w:val="24"/>
                <w:lang w:eastAsia="zh-CN"/>
              </w:rPr>
              <w:t>《逸散性工业粉尘控制技术》（中国环境科学出版社），粉尘排放因子为</w:t>
            </w:r>
            <w:r>
              <w:rPr>
                <w:rFonts w:hint="eastAsia" w:ascii="Times New Roman" w:hAnsi="Times New Roman" w:eastAsia="宋体" w:cs="Times New Roman"/>
                <w:color w:val="FF0000"/>
                <w:kern w:val="0"/>
                <w:sz w:val="24"/>
                <w:szCs w:val="24"/>
                <w:lang w:val="en-US" w:eastAsia="zh-CN"/>
              </w:rPr>
              <w:t>0.05</w:t>
            </w:r>
            <w:r>
              <w:rPr>
                <w:rFonts w:hint="default" w:ascii="Times New Roman" w:hAnsi="Times New Roman" w:eastAsia="宋体" w:cs="Times New Roman"/>
                <w:color w:val="FF0000"/>
                <w:kern w:val="0"/>
                <w:sz w:val="24"/>
                <w:szCs w:val="24"/>
                <w:lang w:eastAsia="zh-CN"/>
              </w:rPr>
              <w:t>kg/t</w:t>
            </w:r>
            <w:r>
              <w:rPr>
                <w:rFonts w:hint="eastAsia" w:ascii="Times New Roman" w:hAnsi="Times New Roman" w:eastAsia="宋体" w:cs="Times New Roman"/>
                <w:color w:val="FF0000"/>
                <w:kern w:val="0"/>
                <w:sz w:val="24"/>
                <w:szCs w:val="24"/>
                <w:lang w:eastAsia="zh-CN"/>
              </w:rPr>
              <w:t>（磨料）。则氟石膏研磨过程中粉尘产生量为</w:t>
            </w:r>
            <w:r>
              <w:rPr>
                <w:rFonts w:hint="eastAsia" w:ascii="Times New Roman" w:hAnsi="Times New Roman" w:eastAsia="宋体" w:cs="Times New Roman"/>
                <w:color w:val="FF0000"/>
                <w:kern w:val="0"/>
                <w:sz w:val="24"/>
                <w:szCs w:val="24"/>
                <w:lang w:val="en-US" w:eastAsia="zh-CN"/>
              </w:rPr>
              <w:t>12.4997t/a；</w:t>
            </w:r>
            <w:r>
              <w:rPr>
                <w:rFonts w:hint="eastAsia" w:ascii="Times New Roman" w:hAnsi="Times New Roman" w:eastAsia="宋体" w:cs="Times New Roman"/>
                <w:color w:val="FF0000"/>
                <w:kern w:val="0"/>
                <w:sz w:val="24"/>
                <w:szCs w:val="24"/>
                <w:lang w:eastAsia="zh-CN"/>
              </w:rPr>
              <w:t>天然石膏研磨过程中粉尘产生量为</w:t>
            </w:r>
            <w:r>
              <w:rPr>
                <w:rFonts w:hint="eastAsia" w:ascii="Times New Roman" w:hAnsi="Times New Roman" w:eastAsia="宋体" w:cs="Times New Roman"/>
                <w:color w:val="FF0000"/>
                <w:kern w:val="0"/>
                <w:sz w:val="24"/>
                <w:szCs w:val="24"/>
                <w:lang w:val="en-US" w:eastAsia="zh-CN"/>
              </w:rPr>
              <w:t>3.9989t/a；石灰石研磨过程中粉尘产生量为8.9998t/a。研磨粉尘经密闭收集+脉冲除尘+15m高DA001排气筒排放。</w:t>
            </w:r>
            <w:r>
              <w:rPr>
                <w:rFonts w:hint="eastAsia" w:ascii="Times New Roman" w:hAnsi="Times New Roman" w:cs="Times New Roman"/>
                <w:color w:val="FF0000"/>
                <w:sz w:val="24"/>
                <w:szCs w:val="24"/>
                <w:vertAlign w:val="baseline"/>
                <w:lang w:val="en-US" w:eastAsia="zh-CN"/>
              </w:rPr>
              <w:t>项目研磨机自带一套脉冲除尘装置，对研磨过程中产生的研磨粉尘进行收集处理，收集效率为100%，处理效率为99%，</w:t>
            </w:r>
            <w:r>
              <w:rPr>
                <w:rFonts w:hint="eastAsia" w:ascii="Times New Roman" w:hAnsi="Times New Roman" w:eastAsia="宋体" w:cs="Times New Roman"/>
                <w:color w:val="FF0000"/>
                <w:kern w:val="0"/>
                <w:sz w:val="24"/>
                <w:szCs w:val="24"/>
                <w:lang w:val="en-US" w:eastAsia="zh-CN"/>
              </w:rPr>
              <w:t>风量为40000</w:t>
            </w:r>
            <w:r>
              <w:rPr>
                <w:rFonts w:hint="eastAsia" w:ascii="Times New Roman" w:hAnsi="Times New Roman" w:cs="Times New Roman"/>
                <w:color w:val="FF0000"/>
                <w:sz w:val="24"/>
                <w:szCs w:val="24"/>
                <w:vertAlign w:val="baseline"/>
                <w:lang w:val="en-US" w:eastAsia="zh-CN"/>
              </w:rPr>
              <w:t>m</w:t>
            </w:r>
            <w:r>
              <w:rPr>
                <w:rFonts w:hint="eastAsia" w:ascii="Times New Roman" w:hAnsi="Times New Roman" w:cs="Times New Roman"/>
                <w:color w:val="FF0000"/>
                <w:sz w:val="24"/>
                <w:szCs w:val="24"/>
                <w:vertAlign w:val="superscript"/>
                <w:lang w:val="en-US" w:eastAsia="zh-CN"/>
              </w:rPr>
              <w:t>3</w:t>
            </w:r>
            <w:r>
              <w:rPr>
                <w:rFonts w:hint="eastAsia" w:ascii="Times New Roman" w:hAnsi="Times New Roman" w:cs="Times New Roman"/>
                <w:color w:val="FF0000"/>
                <w:sz w:val="24"/>
                <w:szCs w:val="24"/>
                <w:vertAlign w:val="baseline"/>
                <w:lang w:val="en-US" w:eastAsia="zh-CN"/>
              </w:rPr>
              <w:t>/h，项目年工作4800h。</w:t>
            </w:r>
          </w:p>
          <w:p>
            <w:pPr>
              <w:spacing w:line="360" w:lineRule="auto"/>
              <w:ind w:firstLine="480" w:firstLineChars="200"/>
              <w:rPr>
                <w:rFonts w:hint="eastAsia" w:ascii="Times New Roman" w:hAnsi="Times New Roman" w:cs="Times New Roman"/>
                <w:color w:val="FF0000"/>
                <w:sz w:val="24"/>
                <w:szCs w:val="24"/>
                <w:vertAlign w:val="baseline"/>
                <w:lang w:val="en-US" w:eastAsia="zh-CN"/>
              </w:rPr>
            </w:pPr>
            <w:r>
              <w:rPr>
                <w:rFonts w:hint="eastAsia" w:ascii="Times New Roman" w:hAnsi="Times New Roman" w:cs="Times New Roman"/>
                <w:color w:val="FF0000"/>
                <w:sz w:val="24"/>
                <w:szCs w:val="24"/>
                <w:vertAlign w:val="baseline"/>
                <w:lang w:val="en-US" w:eastAsia="zh-CN"/>
              </w:rPr>
              <w:t>氟石膏研磨粉尘颗粒物有组织产生量为12.4073t/a（2.5648kg/h），有组织排放量为0.1241t/a（0.0258kg/h），排放速率为0.6462mg/m</w:t>
            </w:r>
            <w:r>
              <w:rPr>
                <w:rFonts w:hint="eastAsia" w:ascii="Times New Roman" w:hAnsi="Times New Roman" w:cs="Times New Roman"/>
                <w:color w:val="FF0000"/>
                <w:sz w:val="24"/>
                <w:szCs w:val="24"/>
                <w:vertAlign w:val="superscript"/>
                <w:lang w:val="en-US" w:eastAsia="zh-CN"/>
              </w:rPr>
              <w:t>3</w:t>
            </w:r>
            <w:r>
              <w:rPr>
                <w:rFonts w:hint="eastAsia" w:ascii="Times New Roman" w:hAnsi="Times New Roman" w:cs="Times New Roman"/>
                <w:color w:val="FF0000"/>
                <w:sz w:val="24"/>
                <w:szCs w:val="24"/>
                <w:vertAlign w:val="baseline"/>
                <w:lang w:val="en-US" w:eastAsia="zh-CN"/>
              </w:rPr>
              <w:t>。研磨粉尘氟化物有组织产生量为0.0925t/a（0.0193kg/h），有组织排放量为0.0009t/a（0.0002kg/h），排放速率为0.0048mg/m</w:t>
            </w:r>
            <w:r>
              <w:rPr>
                <w:rFonts w:hint="eastAsia" w:ascii="Times New Roman" w:hAnsi="Times New Roman" w:cs="Times New Roman"/>
                <w:color w:val="FF0000"/>
                <w:sz w:val="24"/>
                <w:szCs w:val="24"/>
                <w:vertAlign w:val="superscript"/>
                <w:lang w:val="en-US" w:eastAsia="zh-CN"/>
              </w:rPr>
              <w:t>3</w:t>
            </w:r>
            <w:r>
              <w:rPr>
                <w:rFonts w:hint="eastAsia" w:ascii="Times New Roman" w:hAnsi="Times New Roman" w:cs="Times New Roman"/>
                <w:color w:val="FF0000"/>
                <w:sz w:val="24"/>
                <w:szCs w:val="24"/>
                <w:vertAlign w:val="baseline"/>
                <w:lang w:val="en-US" w:eastAsia="zh-CN"/>
              </w:rPr>
              <w:t>。</w:t>
            </w:r>
          </w:p>
          <w:p>
            <w:pPr>
              <w:spacing w:line="360" w:lineRule="auto"/>
              <w:ind w:firstLine="480" w:firstLineChars="200"/>
              <w:rPr>
                <w:rFonts w:hint="default"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FF0000"/>
                <w:kern w:val="0"/>
                <w:sz w:val="24"/>
                <w:szCs w:val="24"/>
                <w:lang w:val="en-US" w:eastAsia="zh-CN"/>
              </w:rPr>
              <w:t>天然石膏研磨粉尘颗粒物有组织产生量为3.9989t/a（0.8331kg/h），有组织排放量为0.04t/a（0.0083kg/h），排放速率为0.2083mg/m</w:t>
            </w:r>
            <w:r>
              <w:rPr>
                <w:rFonts w:hint="eastAsia" w:ascii="Times New Roman" w:hAnsi="Times New Roman" w:eastAsia="宋体" w:cs="Times New Roman"/>
                <w:color w:val="FF0000"/>
                <w:kern w:val="0"/>
                <w:sz w:val="24"/>
                <w:szCs w:val="24"/>
                <w:vertAlign w:val="superscript"/>
                <w:lang w:val="en-US" w:eastAsia="zh-CN"/>
              </w:rPr>
              <w:t>3</w:t>
            </w:r>
            <w:r>
              <w:rPr>
                <w:rFonts w:hint="eastAsia" w:ascii="Times New Roman" w:hAnsi="Times New Roman" w:eastAsia="宋体" w:cs="Times New Roman"/>
                <w:color w:val="FF0000"/>
                <w:kern w:val="0"/>
                <w:sz w:val="24"/>
                <w:szCs w:val="24"/>
                <w:lang w:val="en-US" w:eastAsia="zh-CN"/>
              </w:rPr>
              <w:t>。</w:t>
            </w:r>
          </w:p>
          <w:p>
            <w:pPr>
              <w:spacing w:line="360" w:lineRule="auto"/>
              <w:ind w:firstLine="480" w:firstLineChars="200"/>
              <w:rPr>
                <w:rFonts w:hint="eastAsia"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FF0000"/>
                <w:kern w:val="0"/>
                <w:sz w:val="24"/>
                <w:szCs w:val="24"/>
                <w:lang w:val="en-US" w:eastAsia="zh-CN"/>
              </w:rPr>
              <w:t>石灰石投料粉尘颗粒物有组织产生量为8.9998t/a（1.875kg/h），有组织排放量为0.09t/a（0.0187kg/h），排放速率为0.4687mg/m</w:t>
            </w:r>
            <w:r>
              <w:rPr>
                <w:rFonts w:hint="eastAsia" w:ascii="Times New Roman" w:hAnsi="Times New Roman" w:eastAsia="宋体" w:cs="Times New Roman"/>
                <w:color w:val="FF0000"/>
                <w:kern w:val="0"/>
                <w:sz w:val="24"/>
                <w:szCs w:val="24"/>
                <w:vertAlign w:val="superscript"/>
                <w:lang w:val="en-US" w:eastAsia="zh-CN"/>
              </w:rPr>
              <w:t>3</w:t>
            </w:r>
            <w:r>
              <w:rPr>
                <w:rFonts w:hint="eastAsia" w:ascii="Times New Roman" w:hAnsi="Times New Roman" w:eastAsia="宋体" w:cs="Times New Roman"/>
                <w:color w:val="FF0000"/>
                <w:kern w:val="0"/>
                <w:sz w:val="24"/>
                <w:szCs w:val="24"/>
                <w:lang w:val="en-US" w:eastAsia="zh-CN"/>
              </w:rPr>
              <w:t>。</w:t>
            </w:r>
          </w:p>
          <w:p>
            <w:pPr>
              <w:spacing w:line="360" w:lineRule="auto"/>
              <w:ind w:firstLine="480" w:firstLineChars="200"/>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（6）成品罐粉尘</w:t>
            </w:r>
          </w:p>
          <w:p>
            <w:pPr>
              <w:spacing w:line="360" w:lineRule="auto"/>
              <w:ind w:firstLine="480" w:firstLineChars="200"/>
              <w:rPr>
                <w:rFonts w:hint="eastAsia" w:ascii="Times New Roman" w:hAnsi="Times New Roman" w:cs="Times New Roman"/>
                <w:color w:val="FF0000"/>
                <w:sz w:val="24"/>
                <w:szCs w:val="24"/>
                <w:vertAlign w:val="baseline"/>
                <w:lang w:val="en-US" w:eastAsia="zh-CN"/>
              </w:rPr>
            </w:pPr>
            <w:r>
              <w:rPr>
                <w:rFonts w:hint="eastAsia" w:ascii="Times New Roman" w:hAnsi="Times New Roman" w:eastAsia="宋体" w:cs="Times New Roman"/>
                <w:color w:val="auto"/>
                <w:sz w:val="24"/>
                <w:szCs w:val="24"/>
                <w:lang w:val="en-US" w:eastAsia="zh-CN"/>
              </w:rPr>
              <w:t>本项目经研磨工序处理后的氟石膏粉、天然石膏粉及碳酸钙贮存于成品罐中，成品粉尘进入成品罐的过程中，</w:t>
            </w:r>
            <w:r>
              <w:rPr>
                <w:rFonts w:hint="eastAsia" w:ascii="Times New Roman" w:hAnsi="Times New Roman" w:cs="Times New Roman"/>
                <w:color w:val="auto"/>
                <w:sz w:val="24"/>
                <w:szCs w:val="24"/>
                <w:vertAlign w:val="baseline"/>
                <w:lang w:val="en-US" w:eastAsia="zh-CN"/>
              </w:rPr>
              <w:t>成品罐内的空气会从罐体顶部呼吸口排出，此过程会产生一定量的粉尘，</w:t>
            </w:r>
            <w:r>
              <w:rPr>
                <w:rFonts w:hint="eastAsia" w:ascii="Times New Roman" w:hAnsi="Times New Roman" w:eastAsia="宋体" w:cs="Times New Roman"/>
                <w:bCs/>
                <w:color w:val="FF0000"/>
                <w:kern w:val="44"/>
                <w:sz w:val="24"/>
                <w:szCs w:val="24"/>
                <w:lang w:val="en-US" w:eastAsia="zh-CN"/>
              </w:rPr>
              <w:t>根据《逸散性工业粉尘控制技术》（中国环境科学出版社），成品的转运和输送粉尘排放因子为0.05kg/t（石灰）。</w:t>
            </w:r>
            <w:r>
              <w:rPr>
                <w:rFonts w:hint="eastAsia" w:ascii="Times New Roman" w:hAnsi="Times New Roman" w:eastAsia="宋体" w:cs="Times New Roman"/>
                <w:color w:val="FF0000"/>
                <w:kern w:val="0"/>
                <w:sz w:val="24"/>
                <w:szCs w:val="24"/>
                <w:lang w:eastAsia="zh-CN"/>
              </w:rPr>
              <w:t>则氟石膏成品贮存过程中粉尘产生量为</w:t>
            </w:r>
            <w:r>
              <w:rPr>
                <w:rFonts w:hint="eastAsia" w:ascii="Times New Roman" w:hAnsi="Times New Roman" w:eastAsia="宋体" w:cs="Times New Roman"/>
                <w:color w:val="FF0000"/>
                <w:kern w:val="0"/>
                <w:sz w:val="24"/>
                <w:szCs w:val="24"/>
                <w:lang w:val="en-US" w:eastAsia="zh-CN"/>
              </w:rPr>
              <w:t>12.4991t/a；</w:t>
            </w:r>
            <w:r>
              <w:rPr>
                <w:rFonts w:hint="eastAsia" w:ascii="Times New Roman" w:hAnsi="Times New Roman" w:eastAsia="宋体" w:cs="Times New Roman"/>
                <w:color w:val="FF0000"/>
                <w:kern w:val="0"/>
                <w:sz w:val="24"/>
                <w:szCs w:val="24"/>
                <w:lang w:eastAsia="zh-CN"/>
              </w:rPr>
              <w:t>天然石膏成品贮存过程中粉尘产生量为</w:t>
            </w:r>
            <w:r>
              <w:rPr>
                <w:rFonts w:hint="eastAsia" w:ascii="Times New Roman" w:hAnsi="Times New Roman" w:eastAsia="宋体" w:cs="Times New Roman"/>
                <w:color w:val="FF0000"/>
                <w:kern w:val="0"/>
                <w:sz w:val="24"/>
                <w:szCs w:val="24"/>
                <w:lang w:val="en-US" w:eastAsia="zh-CN"/>
              </w:rPr>
              <w:t>3.9987t/a；碳酸钙</w:t>
            </w:r>
            <w:r>
              <w:rPr>
                <w:rFonts w:hint="eastAsia" w:ascii="Times New Roman" w:hAnsi="Times New Roman" w:eastAsia="宋体" w:cs="Times New Roman"/>
                <w:color w:val="FF0000"/>
                <w:kern w:val="0"/>
                <w:sz w:val="24"/>
                <w:szCs w:val="24"/>
                <w:lang w:eastAsia="zh-CN"/>
              </w:rPr>
              <w:t>成品贮存过程中</w:t>
            </w:r>
            <w:r>
              <w:rPr>
                <w:rFonts w:hint="eastAsia" w:ascii="Times New Roman" w:hAnsi="Times New Roman" w:eastAsia="宋体" w:cs="Times New Roman"/>
                <w:color w:val="FF0000"/>
                <w:kern w:val="0"/>
                <w:sz w:val="24"/>
                <w:szCs w:val="24"/>
                <w:lang w:val="en-US" w:eastAsia="zh-CN"/>
              </w:rPr>
              <w:t>粉尘产生量为8.9994t/a。成品罐粉尘经设备自带布袋除尘器收集后无组织排放。收集效率为100%，处理效率为99%，</w:t>
            </w:r>
            <w:r>
              <w:rPr>
                <w:rFonts w:hint="eastAsia" w:ascii="Times New Roman" w:hAnsi="Times New Roman" w:cs="Times New Roman"/>
                <w:color w:val="FF0000"/>
                <w:sz w:val="24"/>
                <w:szCs w:val="24"/>
                <w:vertAlign w:val="baseline"/>
                <w:lang w:val="en-US" w:eastAsia="zh-CN"/>
              </w:rPr>
              <w:t>项目年工作4800h。</w:t>
            </w:r>
          </w:p>
          <w:p>
            <w:pPr>
              <w:spacing w:line="360" w:lineRule="auto"/>
              <w:ind w:firstLine="480" w:firstLineChars="200"/>
              <w:rPr>
                <w:rFonts w:hint="default" w:ascii="Times New Roman" w:hAnsi="Times New Roman" w:cs="Times New Roman" w:eastAsiaTheme="minorEastAsia"/>
                <w:color w:val="FF0000"/>
                <w:sz w:val="24"/>
                <w:szCs w:val="24"/>
                <w:vertAlign w:val="baseline"/>
                <w:lang w:val="en-US" w:eastAsia="zh-CN"/>
              </w:rPr>
            </w:pPr>
            <w:r>
              <w:rPr>
                <w:rFonts w:hint="eastAsia" w:ascii="Times New Roman" w:hAnsi="Times New Roman" w:cs="Times New Roman"/>
                <w:color w:val="FF0000"/>
                <w:sz w:val="24"/>
                <w:szCs w:val="24"/>
                <w:vertAlign w:val="baseline"/>
                <w:lang w:val="en-US" w:eastAsia="zh-CN"/>
              </w:rPr>
              <w:t>氟石膏成品罐粉尘颗粒物无组织排放量为0.1241t/a（0.0258kg/h）。成品罐粉尘氟化物无组织排放量为0.0009t/a（0.0002kg/h）。</w:t>
            </w:r>
          </w:p>
          <w:p>
            <w:pPr>
              <w:spacing w:line="360" w:lineRule="auto"/>
              <w:ind w:firstLine="480" w:firstLineChars="200"/>
              <w:rPr>
                <w:rFonts w:hint="default"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FF0000"/>
                <w:kern w:val="0"/>
                <w:sz w:val="24"/>
                <w:szCs w:val="24"/>
                <w:lang w:val="en-US" w:eastAsia="zh-CN"/>
              </w:rPr>
              <w:t>天然石膏成品罐粉尘颗粒物无组织排放量为0.04t/a（0.0083kg/h）。</w:t>
            </w:r>
          </w:p>
          <w:p>
            <w:pPr>
              <w:spacing w:line="360" w:lineRule="auto"/>
              <w:ind w:firstLine="480" w:firstLineChars="200"/>
              <w:rPr>
                <w:rFonts w:hint="eastAsia"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FF0000"/>
                <w:kern w:val="0"/>
                <w:sz w:val="24"/>
                <w:szCs w:val="24"/>
                <w:lang w:val="en-US" w:eastAsia="zh-CN"/>
              </w:rPr>
              <w:t>碳酸钙成品罐粉尘颗粒物无组织排放量为0.09t/a（0.0187kg/h）。</w:t>
            </w:r>
          </w:p>
          <w:p>
            <w:pPr>
              <w:spacing w:line="360" w:lineRule="auto"/>
              <w:ind w:firstLine="480" w:firstLineChars="200"/>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（7）打包粉尘</w:t>
            </w:r>
          </w:p>
          <w:p>
            <w:pPr>
              <w:spacing w:line="360" w:lineRule="auto"/>
              <w:ind w:firstLine="480" w:firstLineChars="200"/>
              <w:rPr>
                <w:rFonts w:hint="eastAsia" w:ascii="Times New Roman" w:hAnsi="Times New Roman" w:cs="Times New Roman"/>
                <w:color w:val="FF0000"/>
                <w:sz w:val="24"/>
                <w:szCs w:val="24"/>
                <w:vertAlign w:val="baseline"/>
                <w:lang w:val="en-US" w:eastAsia="zh-CN"/>
              </w:rPr>
            </w:pPr>
            <w:r>
              <w:rPr>
                <w:rFonts w:hint="eastAsia" w:ascii="Times New Roman" w:hAnsi="Times New Roman" w:eastAsia="宋体" w:cs="Times New Roman"/>
                <w:color w:val="auto"/>
                <w:kern w:val="2"/>
                <w:sz w:val="24"/>
                <w:szCs w:val="24"/>
                <w:vertAlign w:val="baseline"/>
                <w:lang w:val="en-US" w:eastAsia="zh-CN" w:bidi="ar-SA"/>
              </w:rPr>
              <w:t>本项目氟石膏粉、天然石膏粉及碳酸钙成品罐中95%成品粉尘经密闭管道输送进密闭车辆内，输送过程为密闭输送，基本无粉尘产生，仅做定性分析。剩余5%成品罐成品粉尘经密闭管道输送进吨包机内进行吨包工序，吨包后的成品外运出售。该打包过程会产生打包粉尘，</w:t>
            </w:r>
            <w:r>
              <w:rPr>
                <w:rFonts w:hint="eastAsia" w:ascii="Times New Roman" w:hAnsi="Times New Roman" w:eastAsia="宋体" w:cs="Times New Roman"/>
                <w:color w:val="FF0000"/>
                <w:kern w:val="2"/>
                <w:sz w:val="24"/>
                <w:szCs w:val="24"/>
                <w:vertAlign w:val="baseline"/>
                <w:lang w:val="en-US" w:eastAsia="zh-CN" w:bidi="ar-SA"/>
              </w:rPr>
              <w:t>根据《逸散性工业粉尘控制技术》（中国环境科学出版社），粉状物料包装时粉尘逸散系数为0.1kg/t。项目</w:t>
            </w:r>
            <w:r>
              <w:rPr>
                <w:rFonts w:hint="eastAsia" w:ascii="Times New Roman" w:hAnsi="Times New Roman" w:cs="Times New Roman"/>
                <w:color w:val="FF0000"/>
                <w:sz w:val="24"/>
                <w:szCs w:val="24"/>
                <w:vertAlign w:val="baseline"/>
                <w:lang w:val="en-US" w:eastAsia="zh-CN"/>
              </w:rPr>
              <w:t>打包粉尘经负压收集+布袋除尘器处理后引至15m高DA001排气筒进行排放。收集效率为95%，处理效率为99%，风量为40000m</w:t>
            </w:r>
            <w:r>
              <w:rPr>
                <w:rFonts w:hint="eastAsia" w:ascii="Times New Roman" w:hAnsi="Times New Roman" w:cs="Times New Roman"/>
                <w:color w:val="FF0000"/>
                <w:sz w:val="24"/>
                <w:szCs w:val="24"/>
                <w:vertAlign w:val="superscript"/>
                <w:lang w:val="en-US" w:eastAsia="zh-CN"/>
              </w:rPr>
              <w:t>3</w:t>
            </w:r>
            <w:r>
              <w:rPr>
                <w:rFonts w:hint="eastAsia" w:ascii="Times New Roman" w:hAnsi="Times New Roman" w:cs="Times New Roman"/>
                <w:color w:val="FF0000"/>
                <w:sz w:val="24"/>
                <w:szCs w:val="24"/>
                <w:vertAlign w:val="baseline"/>
                <w:lang w:val="en-US" w:eastAsia="zh-CN"/>
              </w:rPr>
              <w:t>/h，年工作时间为4800h。</w:t>
            </w:r>
          </w:p>
          <w:p>
            <w:pPr>
              <w:spacing w:line="360" w:lineRule="auto"/>
              <w:ind w:firstLine="480" w:firstLineChars="200"/>
              <w:rPr>
                <w:rFonts w:hint="default" w:ascii="Times New Roman" w:hAnsi="Times New Roman" w:cs="Times New Roman" w:eastAsiaTheme="minorEastAsia"/>
                <w:color w:val="FF0000"/>
                <w:sz w:val="24"/>
                <w:szCs w:val="24"/>
                <w:vertAlign w:val="baseline"/>
                <w:lang w:val="en-US" w:eastAsia="zh-CN"/>
              </w:rPr>
            </w:pPr>
            <w:r>
              <w:rPr>
                <w:rFonts w:hint="eastAsia" w:ascii="Times New Roman" w:hAnsi="Times New Roman" w:cs="Times New Roman"/>
                <w:color w:val="FF0000"/>
                <w:sz w:val="24"/>
                <w:szCs w:val="24"/>
                <w:vertAlign w:val="baseline"/>
                <w:lang w:val="en-US" w:eastAsia="zh-CN"/>
              </w:rPr>
              <w:t>氟石膏打包粉尘颗粒物有组织产生量为1.1786t/a（0.2455kg/h），有组织排放量为0.0118t/a（0.0025kg/h），排放速率为0.0614mg/m</w:t>
            </w:r>
            <w:r>
              <w:rPr>
                <w:rFonts w:hint="eastAsia" w:ascii="Times New Roman" w:hAnsi="Times New Roman" w:cs="Times New Roman"/>
                <w:color w:val="FF0000"/>
                <w:sz w:val="24"/>
                <w:szCs w:val="24"/>
                <w:vertAlign w:val="superscript"/>
                <w:lang w:val="en-US" w:eastAsia="zh-CN"/>
              </w:rPr>
              <w:t>3</w:t>
            </w:r>
            <w:r>
              <w:rPr>
                <w:rFonts w:hint="eastAsia" w:ascii="Times New Roman" w:hAnsi="Times New Roman" w:cs="Times New Roman"/>
                <w:color w:val="FF0000"/>
                <w:sz w:val="24"/>
                <w:szCs w:val="24"/>
                <w:vertAlign w:val="baseline"/>
                <w:lang w:val="en-US" w:eastAsia="zh-CN"/>
              </w:rPr>
              <w:t>。无组织排放量为0.062t/a（0.0129kg/h）。其中氟化物有组织产生量为0.0088t/a（0.0018kg/h），有组织排放量为0.0001t/a（0.00002kg/h），排放速率为0.0005mg/m</w:t>
            </w:r>
            <w:r>
              <w:rPr>
                <w:rFonts w:hint="eastAsia" w:ascii="Times New Roman" w:hAnsi="Times New Roman" w:cs="Times New Roman"/>
                <w:color w:val="FF0000"/>
                <w:sz w:val="24"/>
                <w:szCs w:val="24"/>
                <w:vertAlign w:val="superscript"/>
                <w:lang w:val="en-US" w:eastAsia="zh-CN"/>
              </w:rPr>
              <w:t>3</w:t>
            </w:r>
            <w:r>
              <w:rPr>
                <w:rFonts w:hint="eastAsia" w:ascii="Times New Roman" w:hAnsi="Times New Roman" w:cs="Times New Roman"/>
                <w:color w:val="FF0000"/>
                <w:sz w:val="24"/>
                <w:szCs w:val="24"/>
                <w:vertAlign w:val="baseline"/>
                <w:lang w:val="en-US" w:eastAsia="zh-CN"/>
              </w:rPr>
              <w:t>。无组织排放量为0.0005t/a，排放速率为0.0001kg/h。</w:t>
            </w:r>
          </w:p>
          <w:p>
            <w:pPr>
              <w:spacing w:line="360" w:lineRule="auto"/>
              <w:ind w:firstLine="480" w:firstLineChars="200"/>
              <w:rPr>
                <w:rFonts w:hint="default"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FF0000"/>
                <w:kern w:val="0"/>
                <w:sz w:val="24"/>
                <w:szCs w:val="24"/>
                <w:lang w:val="en-US" w:eastAsia="zh-CN"/>
              </w:rPr>
              <w:t>天然石膏打包粉尘颗粒物有组织产生量为0.3799t/a（0.0791kg/h），有组织排放量为0.0038t/a（0.0008kg/h），排放速率为0.0198mg/m</w:t>
            </w:r>
            <w:r>
              <w:rPr>
                <w:rFonts w:hint="eastAsia" w:ascii="Times New Roman" w:hAnsi="Times New Roman" w:eastAsia="宋体" w:cs="Times New Roman"/>
                <w:color w:val="FF0000"/>
                <w:kern w:val="0"/>
                <w:sz w:val="24"/>
                <w:szCs w:val="24"/>
                <w:vertAlign w:val="superscript"/>
                <w:lang w:val="en-US" w:eastAsia="zh-CN"/>
              </w:rPr>
              <w:t>3</w:t>
            </w:r>
            <w:r>
              <w:rPr>
                <w:rFonts w:hint="eastAsia" w:ascii="Times New Roman" w:hAnsi="Times New Roman" w:eastAsia="宋体" w:cs="Times New Roman"/>
                <w:color w:val="FF0000"/>
                <w:kern w:val="0"/>
                <w:sz w:val="24"/>
                <w:szCs w:val="24"/>
                <w:lang w:val="en-US" w:eastAsia="zh-CN"/>
              </w:rPr>
              <w:t>。无组织排放量为0.02t/a（0.0042kg/h）。</w:t>
            </w:r>
          </w:p>
          <w:p>
            <w:pPr>
              <w:spacing w:line="360" w:lineRule="auto"/>
              <w:ind w:firstLine="480" w:firstLineChars="200"/>
              <w:rPr>
                <w:rFonts w:hint="eastAsia"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FF0000"/>
                <w:kern w:val="0"/>
                <w:sz w:val="24"/>
                <w:szCs w:val="24"/>
                <w:lang w:val="en-US" w:eastAsia="zh-CN"/>
              </w:rPr>
              <w:t>碳酸钙打包粉尘颗粒物有组织产生量为为0.8549t/a（0.1781kg/h），有组织排放量为0.0085t/a（0.0018kg/h），排放速率为0.0445mg/m</w:t>
            </w:r>
            <w:r>
              <w:rPr>
                <w:rFonts w:hint="eastAsia" w:ascii="Times New Roman" w:hAnsi="Times New Roman" w:eastAsia="宋体" w:cs="Times New Roman"/>
                <w:color w:val="FF0000"/>
                <w:kern w:val="0"/>
                <w:sz w:val="24"/>
                <w:szCs w:val="24"/>
                <w:vertAlign w:val="superscript"/>
                <w:lang w:val="en-US" w:eastAsia="zh-CN"/>
              </w:rPr>
              <w:t>3</w:t>
            </w:r>
            <w:r>
              <w:rPr>
                <w:rFonts w:hint="eastAsia" w:ascii="Times New Roman" w:hAnsi="Times New Roman" w:eastAsia="宋体" w:cs="Times New Roman"/>
                <w:color w:val="FF0000"/>
                <w:kern w:val="0"/>
                <w:sz w:val="24"/>
                <w:szCs w:val="24"/>
                <w:lang w:val="en-US" w:eastAsia="zh-CN"/>
              </w:rPr>
              <w:t>。无组织排放量为0.045t/a（0.0094kg/h）。</w:t>
            </w:r>
          </w:p>
          <w:p>
            <w:pPr>
              <w:pStyle w:val="75"/>
              <w:numPr>
                <w:ilvl w:val="0"/>
                <w:numId w:val="0"/>
              </w:numPr>
              <w:ind w:leftChars="200"/>
              <w:rPr>
                <w:rFonts w:hint="default"/>
                <w:color w:val="auto"/>
                <w:lang w:val="en-US" w:eastAsia="zh-CN"/>
              </w:rPr>
            </w:pPr>
            <w:r>
              <w:rPr>
                <w:rFonts w:hint="eastAsia" w:ascii="Times New Roman" w:hAnsi="Times New Roman" w:cs="Times New Roman"/>
                <w:color w:val="auto"/>
                <w:sz w:val="24"/>
                <w:szCs w:val="24"/>
                <w:vertAlign w:val="baseline"/>
                <w:lang w:val="en-US" w:eastAsia="zh-CN"/>
              </w:rPr>
              <w:t>（8）食堂油烟</w:t>
            </w:r>
          </w:p>
          <w:p>
            <w:pPr>
              <w:pStyle w:val="77"/>
              <w:spacing w:line="360" w:lineRule="auto"/>
              <w:ind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w:t>
            </w:r>
            <w:r>
              <w:rPr>
                <w:rFonts w:hint="eastAsia" w:ascii="Times New Roman" w:hAnsi="Times New Roman" w:eastAsia="宋体" w:cs="Times New Roman"/>
                <w:color w:val="auto"/>
                <w:highlight w:val="none"/>
                <w:lang w:val="en-US" w:eastAsia="zh-CN"/>
              </w:rPr>
              <w:t>依在厂区内</w:t>
            </w:r>
            <w:r>
              <w:rPr>
                <w:rFonts w:hint="default" w:ascii="Times New Roman" w:hAnsi="Times New Roman" w:eastAsia="宋体" w:cs="Times New Roman"/>
                <w:color w:val="auto"/>
                <w:highlight w:val="none"/>
                <w:lang w:val="en-US" w:eastAsia="zh-CN"/>
              </w:rPr>
              <w:t>设置一个食堂，项目劳动定员为</w:t>
            </w:r>
            <w:r>
              <w:rPr>
                <w:rFonts w:hint="eastAsia"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lang w:val="en-US" w:eastAsia="zh-CN"/>
              </w:rPr>
              <w:t>人，在厂区内食宿。由于是大锅炒菜，根据类比调查，人均耗油量按15g/人·d计，一般油烟挥发量占总耗油量的2～4%，平均为3%，则油烟产生量约为0.</w:t>
            </w:r>
            <w:r>
              <w:rPr>
                <w:rFonts w:hint="eastAsia" w:ascii="Times New Roman" w:hAnsi="Times New Roman" w:eastAsia="宋体" w:cs="Times New Roman"/>
                <w:color w:val="auto"/>
                <w:highlight w:val="none"/>
                <w:lang w:val="en-US" w:eastAsia="zh-CN"/>
              </w:rPr>
              <w:t>01</w:t>
            </w:r>
            <w:r>
              <w:rPr>
                <w:rFonts w:hint="default" w:ascii="Times New Roman" w:hAnsi="Times New Roman" w:eastAsia="宋体" w:cs="Times New Roman"/>
                <w:color w:val="auto"/>
                <w:highlight w:val="none"/>
                <w:lang w:val="en-US" w:eastAsia="zh-CN"/>
              </w:rPr>
              <w:t>kg/d，</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kg/a，据建设单位提供资料，项目设1个基准灶头（小型食堂标准），单灶风量2000m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/h。日均制作按</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小时计，则排风量为8000m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/d，油烟产生浓度约</w:t>
            </w:r>
            <w:r>
              <w:rPr>
                <w:rFonts w:hint="eastAsia" w:ascii="Times New Roman" w:hAnsi="Times New Roman" w:eastAsia="宋体" w:cs="Times New Roman"/>
                <w:color w:val="auto"/>
                <w:highlight w:val="none"/>
                <w:lang w:val="en-US" w:eastAsia="zh-CN"/>
              </w:rPr>
              <w:t>1.25</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，经油烟净化器处理，最低去除效率为60%，处理后引至楼顶排放，则油烟排放量为</w:t>
            </w:r>
            <w:r>
              <w:rPr>
                <w:rFonts w:hint="eastAsia"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lang w:val="en-US" w:eastAsia="zh-CN"/>
              </w:rPr>
              <w:t>kg/a，排放浓度为</w:t>
            </w:r>
            <w:r>
              <w:rPr>
                <w:rFonts w:hint="eastAsia" w:ascii="Times New Roman" w:hAnsi="Times New Roman" w:eastAsia="宋体" w:cs="Times New Roman"/>
                <w:color w:val="auto"/>
                <w:highlight w:val="none"/>
                <w:lang w:val="en-US" w:eastAsia="zh-CN"/>
              </w:rPr>
              <w:t>0.5</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p>
            <w:pPr>
              <w:pStyle w:val="77"/>
              <w:spacing w:line="360" w:lineRule="auto"/>
              <w:ind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（9）输送粉尘</w:t>
            </w:r>
          </w:p>
          <w:p>
            <w:pPr>
              <w:pStyle w:val="77"/>
              <w:spacing w:line="360" w:lineRule="auto"/>
              <w:ind w:firstLine="480" w:firstLineChars="200"/>
              <w:jc w:val="left"/>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FF0000"/>
                <w:highlight w:val="none"/>
                <w:lang w:val="en-US" w:eastAsia="zh-CN"/>
              </w:rPr>
              <w:t>本项目原料通过螺旋输送机供料进入雷蒙磨粉机中，皮带输送采用全密闭结构，取以上措施后，可有效减少原材料输送过程中粉尘的无组织排放量，排放量较少，仅做定性分析。</w:t>
            </w:r>
          </w:p>
          <w:p>
            <w:pPr>
              <w:adjustRightInd w:val="0"/>
              <w:snapToGrid w:val="0"/>
              <w:spacing w:line="360" w:lineRule="auto"/>
              <w:ind w:firstLine="482"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b/>
                <w:color w:val="auto"/>
                <w:kern w:val="0"/>
                <w:sz w:val="24"/>
                <w:szCs w:val="24"/>
              </w:rPr>
              <w:t>3、废气治理设施可行性分析</w:t>
            </w:r>
          </w:p>
          <w:p>
            <w:pPr>
              <w:pStyle w:val="38"/>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布袋除尘及脉冲除尘处理颗粒物</w:t>
            </w:r>
            <w:r>
              <w:rPr>
                <w:rFonts w:hint="default" w:ascii="Times New Roman" w:hAnsi="Times New Roman" w:eastAsia="宋体" w:cs="Times New Roman"/>
                <w:color w:val="auto"/>
                <w:lang w:val="en-US" w:eastAsia="zh-CN"/>
              </w:rPr>
              <w:t>可行性分析：</w:t>
            </w:r>
          </w:p>
          <w:p>
            <w:pPr>
              <w:spacing w:line="360" w:lineRule="auto"/>
              <w:ind w:firstLine="480" w:firstLineChars="200"/>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eastAsia="zh-CN"/>
              </w:rPr>
              <w:t>布袋除尘及脉冲除尘</w:t>
            </w:r>
            <w:r>
              <w:rPr>
                <w:rFonts w:hint="default" w:ascii="Times New Roman" w:hAnsi="Times New Roman" w:eastAsia="宋体" w:cs="Times New Roman"/>
                <w:bCs/>
                <w:color w:val="auto"/>
                <w:sz w:val="24"/>
                <w:szCs w:val="24"/>
              </w:rPr>
              <w:t>装置具有结构简单，维护操作方便；除尘效率可以达到99%以上，处理风量的范围广等优点。是一种成熟的比较完善的高效除尘设备。目前对于颗粒性粉尘净化处理是比较常用的环保装置，工艺在国内已经十分成熟，并得到了广泛的应用，在国内很多企业已经成功安装运行，设备运行费用较低，能够稳定运行。</w:t>
            </w:r>
          </w:p>
          <w:p>
            <w:pPr>
              <w:spacing w:line="360" w:lineRule="auto"/>
              <w:ind w:firstLine="480" w:firstLineChars="200"/>
              <w:rPr>
                <w:rFonts w:hint="default" w:ascii="Times New Roman" w:hAnsi="Times New Roman" w:eastAsia="宋体" w:cs="Times New Roman"/>
                <w:bCs/>
                <w:color w:val="FF0000"/>
                <w:sz w:val="24"/>
                <w:szCs w:val="24"/>
              </w:rPr>
            </w:pPr>
            <w:r>
              <w:rPr>
                <w:rFonts w:hint="default" w:ascii="Times New Roman" w:hAnsi="Times New Roman" w:eastAsia="宋体" w:cs="Times New Roman"/>
                <w:bCs/>
                <w:color w:val="FF0000"/>
                <w:sz w:val="24"/>
                <w:szCs w:val="24"/>
              </w:rPr>
              <w:t>本项目</w:t>
            </w:r>
            <w:r>
              <w:rPr>
                <w:rFonts w:hint="eastAsia" w:ascii="Times New Roman" w:hAnsi="Times New Roman" w:eastAsia="宋体" w:cs="Times New Roman"/>
                <w:bCs/>
                <w:color w:val="FF0000"/>
                <w:sz w:val="24"/>
                <w:szCs w:val="24"/>
                <w:lang w:eastAsia="zh-CN"/>
              </w:rPr>
              <w:t>对</w:t>
            </w:r>
            <w:r>
              <w:rPr>
                <w:rFonts w:hint="default" w:ascii="Times New Roman" w:hAnsi="Times New Roman" w:eastAsia="宋体" w:cs="Times New Roman"/>
                <w:bCs/>
                <w:color w:val="FF0000"/>
                <w:sz w:val="24"/>
                <w:szCs w:val="24"/>
              </w:rPr>
              <w:t>产生的</w:t>
            </w:r>
            <w:r>
              <w:rPr>
                <w:rFonts w:hint="eastAsia" w:ascii="Times New Roman" w:hAnsi="Times New Roman" w:eastAsia="宋体" w:cs="Times New Roman"/>
                <w:bCs/>
                <w:color w:val="FF0000"/>
                <w:sz w:val="24"/>
                <w:szCs w:val="24"/>
                <w:lang w:eastAsia="zh-CN"/>
              </w:rPr>
              <w:t>投料粉尘、破碎粉尘、研磨粉尘、成品罐贮存粉尘及打包粉尘采用的</w:t>
            </w:r>
            <w:r>
              <w:rPr>
                <w:rFonts w:hint="default" w:ascii="Times New Roman" w:hAnsi="Times New Roman" w:eastAsia="宋体" w:cs="Times New Roman"/>
                <w:bCs/>
                <w:color w:val="FF0000"/>
                <w:sz w:val="24"/>
                <w:szCs w:val="24"/>
              </w:rPr>
              <w:t>处理</w:t>
            </w:r>
            <w:r>
              <w:rPr>
                <w:rFonts w:hint="eastAsia" w:ascii="Times New Roman" w:hAnsi="Times New Roman" w:eastAsia="宋体" w:cs="Times New Roman"/>
                <w:bCs/>
                <w:color w:val="FF0000"/>
                <w:sz w:val="24"/>
                <w:szCs w:val="24"/>
                <w:lang w:eastAsia="zh-CN"/>
              </w:rPr>
              <w:t>措施</w:t>
            </w:r>
            <w:r>
              <w:rPr>
                <w:rFonts w:hint="default" w:ascii="Times New Roman" w:hAnsi="Times New Roman" w:eastAsia="宋体" w:cs="Times New Roman"/>
                <w:bCs/>
                <w:color w:val="FF0000"/>
                <w:sz w:val="24"/>
                <w:szCs w:val="24"/>
              </w:rPr>
              <w:t>有效、可行。</w:t>
            </w:r>
          </w:p>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4、废气环境影响分析</w:t>
            </w:r>
          </w:p>
          <w:p>
            <w:pPr>
              <w:pStyle w:val="77"/>
              <w:spacing w:line="360" w:lineRule="auto"/>
              <w:ind w:firstLine="480" w:firstLineChars="200"/>
              <w:jc w:val="lef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表4-1，项目投料、破碎、研磨及打包粉尘有组织排放满足《大气污染物综合排放标准》（GB16297-1996）表2中颗粒物排放监控浓度限值，卸料堆场、投料、破碎、成品罐、打包工序颗粒物无组织排放满足《大气污染物综合排放标准》（GB16297-1996）表2中无组织排放监控浓度限值；项目氟化物执行《大气污染物综合排放标准》（GB16297-1996）中表2中氟化物（其他标准限值）。</w:t>
            </w:r>
          </w:p>
          <w:p>
            <w:pPr>
              <w:pStyle w:val="77"/>
              <w:spacing w:line="360" w:lineRule="auto"/>
              <w:ind w:firstLine="480" w:firstLineChars="200"/>
              <w:jc w:val="lef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由表4-2可知，在非正常情况下，排气筒有组织排放浓度和速率显著增加。为防止废气事故排放，企业应在生产过程中加强管理，一旦废气治理系统故障，立即停产检修，防止事故废气排放。同时，企业应加强生产管理，根据设备性质和要求做相应的点检和检修，预防事故的产生。</w:t>
            </w:r>
          </w:p>
          <w:p>
            <w:pPr>
              <w:pStyle w:val="77"/>
              <w:spacing w:line="360" w:lineRule="auto"/>
              <w:ind w:firstLine="480" w:firstLineChars="200"/>
              <w:jc w:val="lef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综上所述，在企业妥善管理的前提下，本项目外排废气经过处理后可达标排放。</w:t>
            </w:r>
          </w:p>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lang w:val="en-US" w:eastAsia="zh-CN"/>
              </w:rPr>
            </w:pPr>
            <w:r>
              <w:rPr>
                <w:rFonts w:hint="eastAsia" w:ascii="Times New Roman" w:hAnsi="Times New Roman" w:eastAsia="宋体" w:cs="Times New Roman"/>
                <w:b/>
                <w:color w:val="auto"/>
                <w:kern w:val="0"/>
                <w:sz w:val="24"/>
                <w:szCs w:val="24"/>
                <w:lang w:val="en-US" w:eastAsia="zh-CN"/>
              </w:rPr>
              <w:t>5、卫生防护距离计算</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（1）等标排放量计算</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对无组织排放的有害气体进入呼吸带大气层时，其浓度如超过评价标准的容许浓度限值，则需设置卫生防护距离，根据《大气有害物质无组织排放卫生防护距离推导技术导则》（GB/T39499-2020）的有关规定，单个大气有害物质等标排放量按下式计算：</w:t>
            </w:r>
          </w:p>
          <w:p>
            <w:pPr>
              <w:widowControl/>
              <w:adjustRightInd w:val="0"/>
              <w:snapToGrid w:val="0"/>
              <w:spacing w:line="360" w:lineRule="auto"/>
              <w:ind w:firstLine="480" w:firstLineChars="20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等标排放量=Q</w:t>
            </w:r>
            <w:r>
              <w:rPr>
                <w:rFonts w:hint="default" w:ascii="Times New Roman" w:hAnsi="Times New Roman" w:eastAsia="宋体" w:cs="Times New Roman"/>
                <w:color w:val="auto"/>
                <w:kern w:val="0"/>
                <w:sz w:val="24"/>
                <w:szCs w:val="24"/>
                <w:highlight w:val="none"/>
                <w:vertAlign w:val="subscript"/>
              </w:rPr>
              <w:t>c</w:t>
            </w:r>
            <w:r>
              <w:rPr>
                <w:rFonts w:hint="default" w:ascii="Times New Roman" w:hAnsi="Times New Roman" w:eastAsia="宋体" w:cs="Times New Roman"/>
                <w:color w:val="auto"/>
                <w:kern w:val="0"/>
                <w:sz w:val="24"/>
                <w:szCs w:val="24"/>
                <w:highlight w:val="none"/>
              </w:rPr>
              <w:t>/C</w:t>
            </w:r>
            <w:r>
              <w:rPr>
                <w:rFonts w:hint="default" w:ascii="Times New Roman" w:hAnsi="Times New Roman" w:eastAsia="宋体" w:cs="Times New Roman"/>
                <w:color w:val="auto"/>
                <w:kern w:val="0"/>
                <w:sz w:val="24"/>
                <w:szCs w:val="24"/>
                <w:highlight w:val="none"/>
                <w:vertAlign w:val="subscript"/>
              </w:rPr>
              <w:t>m</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w:t>
            </w:r>
            <w:r>
              <w:rPr>
                <w:rFonts w:hint="default" w:ascii="Times New Roman" w:hAnsi="Times New Roman" w:eastAsia="宋体" w:cs="Times New Roman"/>
                <w:color w:val="auto"/>
                <w:sz w:val="24"/>
                <w:szCs w:val="24"/>
                <w:highlight w:val="none"/>
                <w:vertAlign w:val="subscript"/>
              </w:rPr>
              <w:t>c</w:t>
            </w:r>
            <w:r>
              <w:rPr>
                <w:rFonts w:hint="default" w:ascii="Times New Roman" w:hAnsi="Times New Roman" w:eastAsia="宋体" w:cs="Times New Roman"/>
                <w:color w:val="auto"/>
                <w:sz w:val="24"/>
                <w:szCs w:val="24"/>
                <w:highlight w:val="none"/>
              </w:rPr>
              <w:t>－为有害气体无组织排放量可以达到的控制水平</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kg/h)；</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m</w:t>
            </w:r>
            <w:r>
              <w:rPr>
                <w:rFonts w:hint="default" w:ascii="Times New Roman" w:hAnsi="Times New Roman" w:eastAsia="宋体" w:cs="Times New Roman"/>
                <w:color w:val="auto"/>
                <w:sz w:val="24"/>
                <w:szCs w:val="24"/>
                <w:highlight w:val="none"/>
              </w:rPr>
              <w:t>－为标准浓度限值</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根据导则要求，确定单个大气有害物质的无组织排放量及等标排放量（Qc/Cm），最终确定卫生防护距离相关的主要特征大气有害物质1种</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种。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项目各污染物等标量计算结果见下表</w:t>
            </w:r>
            <w:r>
              <w:rPr>
                <w:rFonts w:hint="default" w:ascii="Times New Roman" w:hAnsi="Times New Roman" w:eastAsia="宋体" w:cs="Times New Roman"/>
                <w:color w:val="auto"/>
                <w:sz w:val="24"/>
                <w:szCs w:val="24"/>
                <w:lang w:eastAsia="zh-CN"/>
              </w:rPr>
              <w:t>。</w:t>
            </w:r>
          </w:p>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rPr>
              <w:t>大气有害无组织等标排放量计算一览表</w:t>
            </w:r>
          </w:p>
          <w:tbl>
            <w:tblPr>
              <w:tblStyle w:val="57"/>
              <w:tblW w:w="11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2210"/>
              <w:gridCol w:w="2234"/>
              <w:gridCol w:w="2320"/>
              <w:gridCol w:w="3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31" w:type="dxa"/>
                  <w:tcBorders>
                    <w:tl2br w:val="nil"/>
                    <w:tr2bl w:val="nil"/>
                  </w:tcBorders>
                  <w:noWrap w:val="0"/>
                  <w:vAlign w:val="top"/>
                </w:tcPr>
                <w:p>
                  <w:pPr>
                    <w:pStyle w:val="176"/>
                    <w:rPr>
                      <w:rFonts w:hint="eastAsia" w:ascii="Times New Roman" w:hAnsi="Times New Roman" w:eastAsia="宋体" w:cs="Times New Roman"/>
                      <w:b/>
                      <w:bCs/>
                      <w:color w:val="FF0000"/>
                      <w:sz w:val="21"/>
                      <w:szCs w:val="21"/>
                      <w:lang w:eastAsia="zh-CN"/>
                    </w:rPr>
                  </w:pPr>
                  <w:r>
                    <w:rPr>
                      <w:rFonts w:hint="eastAsia" w:ascii="Times New Roman" w:hAnsi="Times New Roman" w:eastAsia="宋体" w:cs="Times New Roman"/>
                      <w:b/>
                      <w:bCs/>
                      <w:color w:val="FF0000"/>
                      <w:sz w:val="21"/>
                      <w:szCs w:val="21"/>
                      <w:lang w:eastAsia="zh-CN"/>
                    </w:rPr>
                    <w:t>产污环节</w:t>
                  </w:r>
                </w:p>
              </w:tc>
              <w:tc>
                <w:tcPr>
                  <w:tcW w:w="2210" w:type="dxa"/>
                  <w:tcBorders>
                    <w:tl2br w:val="nil"/>
                    <w:tr2bl w:val="nil"/>
                  </w:tcBorders>
                  <w:noWrap w:val="0"/>
                  <w:vAlign w:val="top"/>
                </w:tcPr>
                <w:p>
                  <w:pPr>
                    <w:pStyle w:val="176"/>
                    <w:rPr>
                      <w:rFonts w:hint="eastAsia" w:ascii="Times New Roman" w:hAnsi="Times New Roman" w:eastAsia="宋体" w:cs="Times New Roman"/>
                      <w:b/>
                      <w:bCs/>
                      <w:color w:val="FF0000"/>
                      <w:sz w:val="21"/>
                      <w:szCs w:val="21"/>
                      <w:lang w:eastAsia="zh-CN"/>
                    </w:rPr>
                  </w:pPr>
                  <w:r>
                    <w:rPr>
                      <w:rFonts w:hint="default" w:ascii="Times New Roman" w:hAnsi="Times New Roman" w:eastAsia="宋体" w:cs="Times New Roman"/>
                      <w:b/>
                      <w:bCs/>
                      <w:color w:val="FF0000"/>
                      <w:sz w:val="21"/>
                      <w:szCs w:val="21"/>
                    </w:rPr>
                    <w:t>污染物</w:t>
                  </w:r>
                  <w:r>
                    <w:rPr>
                      <w:rFonts w:hint="eastAsia" w:ascii="Times New Roman" w:hAnsi="Times New Roman" w:eastAsia="宋体" w:cs="Times New Roman"/>
                      <w:b/>
                      <w:bCs/>
                      <w:color w:val="FF0000"/>
                      <w:sz w:val="21"/>
                      <w:szCs w:val="21"/>
                      <w:lang w:eastAsia="zh-CN"/>
                    </w:rPr>
                    <w:t>名称</w:t>
                  </w:r>
                </w:p>
              </w:tc>
              <w:tc>
                <w:tcPr>
                  <w:tcW w:w="2234" w:type="dxa"/>
                  <w:tcBorders>
                    <w:tl2br w:val="nil"/>
                    <w:tr2bl w:val="nil"/>
                  </w:tcBorders>
                  <w:noWrap w:val="0"/>
                  <w:vAlign w:val="top"/>
                </w:tcPr>
                <w:p>
                  <w:pPr>
                    <w:pStyle w:val="176"/>
                    <w:rPr>
                      <w:rFonts w:hint="default" w:ascii="Times New Roman" w:hAnsi="Times New Roman" w:eastAsia="宋体" w:cs="Times New Roman"/>
                      <w:b/>
                      <w:bCs/>
                      <w:color w:val="FF0000"/>
                      <w:sz w:val="21"/>
                      <w:szCs w:val="21"/>
                      <w:lang w:eastAsia="zh-CN"/>
                    </w:rPr>
                  </w:pPr>
                  <w:r>
                    <w:rPr>
                      <w:rFonts w:hint="default" w:ascii="Times New Roman" w:hAnsi="Times New Roman" w:eastAsia="宋体" w:cs="Times New Roman"/>
                      <w:b/>
                      <w:bCs/>
                      <w:color w:val="FF0000"/>
                      <w:sz w:val="21"/>
                      <w:szCs w:val="21"/>
                    </w:rPr>
                    <w:t>Qc</w:t>
                  </w:r>
                  <w:r>
                    <w:rPr>
                      <w:rFonts w:hint="default" w:ascii="Times New Roman" w:hAnsi="Times New Roman" w:eastAsia="宋体" w:cs="Times New Roman"/>
                      <w:b/>
                      <w:bCs/>
                      <w:color w:val="FF0000"/>
                      <w:sz w:val="21"/>
                      <w:szCs w:val="21"/>
                      <w:lang w:eastAsia="zh-CN"/>
                    </w:rPr>
                    <w:t>（kg/h）</w:t>
                  </w:r>
                </w:p>
              </w:tc>
              <w:tc>
                <w:tcPr>
                  <w:tcW w:w="2320" w:type="dxa"/>
                  <w:tcBorders>
                    <w:tl2br w:val="nil"/>
                    <w:tr2bl w:val="nil"/>
                  </w:tcBorders>
                  <w:noWrap w:val="0"/>
                  <w:vAlign w:val="top"/>
                </w:tcPr>
                <w:p>
                  <w:pPr>
                    <w:pStyle w:val="176"/>
                    <w:rPr>
                      <w:rFonts w:hint="default" w:ascii="Times New Roman" w:hAnsi="Times New Roman" w:eastAsia="宋体" w:cs="Times New Roman"/>
                      <w:b/>
                      <w:bCs/>
                      <w:color w:val="FF0000"/>
                      <w:sz w:val="21"/>
                      <w:szCs w:val="21"/>
                      <w:lang w:eastAsia="zh-CN"/>
                    </w:rPr>
                  </w:pPr>
                  <w:r>
                    <w:rPr>
                      <w:rFonts w:hint="default" w:ascii="Times New Roman" w:hAnsi="Times New Roman" w:eastAsia="宋体" w:cs="Times New Roman"/>
                      <w:b/>
                      <w:bCs/>
                      <w:color w:val="FF0000"/>
                      <w:sz w:val="21"/>
                      <w:szCs w:val="21"/>
                    </w:rPr>
                    <w:t>Cm</w:t>
                  </w:r>
                  <w:r>
                    <w:rPr>
                      <w:rFonts w:hint="default" w:ascii="Times New Roman" w:hAnsi="Times New Roman" w:eastAsia="宋体" w:cs="Times New Roman"/>
                      <w:b/>
                      <w:bCs/>
                      <w:color w:val="FF0000"/>
                      <w:sz w:val="21"/>
                      <w:szCs w:val="21"/>
                      <w:lang w:eastAsia="zh-CN"/>
                    </w:rPr>
                    <w:t>（mg/m</w:t>
                  </w:r>
                  <w:r>
                    <w:rPr>
                      <w:rFonts w:hint="default" w:ascii="Times New Roman" w:hAnsi="Times New Roman" w:eastAsia="宋体" w:cs="Times New Roman"/>
                      <w:b/>
                      <w:bCs/>
                      <w:color w:val="FF0000"/>
                      <w:sz w:val="21"/>
                      <w:szCs w:val="21"/>
                      <w:vertAlign w:val="superscript"/>
                      <w:lang w:eastAsia="zh-CN"/>
                    </w:rPr>
                    <w:t>3</w:t>
                  </w:r>
                  <w:r>
                    <w:rPr>
                      <w:rFonts w:hint="default" w:ascii="Times New Roman" w:hAnsi="Times New Roman" w:eastAsia="宋体" w:cs="Times New Roman"/>
                      <w:b/>
                      <w:bCs/>
                      <w:color w:val="FF0000"/>
                      <w:sz w:val="21"/>
                      <w:szCs w:val="21"/>
                      <w:lang w:eastAsia="zh-CN"/>
                    </w:rPr>
                    <w:t>）</w:t>
                  </w:r>
                </w:p>
              </w:tc>
              <w:tc>
                <w:tcPr>
                  <w:tcW w:w="3102" w:type="dxa"/>
                  <w:tcBorders>
                    <w:tl2br w:val="nil"/>
                    <w:tr2bl w:val="nil"/>
                  </w:tcBorders>
                  <w:noWrap w:val="0"/>
                  <w:vAlign w:val="top"/>
                </w:tcPr>
                <w:p>
                  <w:pPr>
                    <w:pStyle w:val="176"/>
                    <w:rPr>
                      <w:rFonts w:hint="default" w:ascii="Times New Roman" w:hAnsi="Times New Roman" w:eastAsia="宋体" w:cs="Times New Roman"/>
                      <w:b/>
                      <w:bCs/>
                      <w:color w:val="FF0000"/>
                      <w:sz w:val="21"/>
                      <w:szCs w:val="21"/>
                      <w:lang w:eastAsia="zh-CN"/>
                    </w:rPr>
                  </w:pPr>
                  <w:r>
                    <w:rPr>
                      <w:rFonts w:hint="default" w:ascii="Times New Roman" w:hAnsi="Times New Roman" w:eastAsia="宋体" w:cs="Times New Roman"/>
                      <w:b/>
                      <w:bCs/>
                      <w:color w:val="FF0000"/>
                      <w:sz w:val="21"/>
                      <w:szCs w:val="21"/>
                    </w:rPr>
                    <w:t>等标排放量</w:t>
                  </w:r>
                  <w:r>
                    <w:rPr>
                      <w:rFonts w:hint="default" w:ascii="Times New Roman" w:hAnsi="Times New Roman" w:eastAsia="宋体" w:cs="Times New Roman"/>
                      <w:b/>
                      <w:bCs/>
                      <w:color w:val="FF0000"/>
                      <w:sz w:val="21"/>
                      <w:szCs w:val="21"/>
                      <w:lang w:eastAsia="zh-CN"/>
                    </w:rPr>
                    <w:t>（10</w:t>
                  </w:r>
                  <w:r>
                    <w:rPr>
                      <w:rFonts w:hint="default" w:ascii="Times New Roman" w:hAnsi="Times New Roman" w:eastAsia="宋体" w:cs="Times New Roman"/>
                      <w:b/>
                      <w:bCs/>
                      <w:color w:val="FF0000"/>
                      <w:sz w:val="21"/>
                      <w:szCs w:val="21"/>
                      <w:vertAlign w:val="superscript"/>
                      <w:lang w:eastAsia="zh-CN"/>
                    </w:rPr>
                    <w:t>6</w:t>
                  </w:r>
                  <w:r>
                    <w:rPr>
                      <w:rFonts w:hint="default" w:ascii="Times New Roman" w:hAnsi="Times New Roman" w:eastAsia="宋体" w:cs="Times New Roman"/>
                      <w:b/>
                      <w:bCs/>
                      <w:color w:val="FF0000"/>
                      <w:sz w:val="21"/>
                      <w:szCs w:val="21"/>
                      <w:lang w:eastAsia="zh-CN"/>
                    </w:rPr>
                    <w:t>m</w:t>
                  </w:r>
                  <w:r>
                    <w:rPr>
                      <w:rFonts w:hint="default" w:ascii="Times New Roman" w:hAnsi="Times New Roman" w:eastAsia="宋体" w:cs="Times New Roman"/>
                      <w:b/>
                      <w:bCs/>
                      <w:color w:val="FF0000"/>
                      <w:sz w:val="21"/>
                      <w:szCs w:val="21"/>
                      <w:vertAlign w:val="superscript"/>
                      <w:lang w:eastAsia="zh-CN"/>
                    </w:rPr>
                    <w:t>3</w:t>
                  </w:r>
                  <w:r>
                    <w:rPr>
                      <w:rFonts w:hint="default" w:ascii="Times New Roman" w:hAnsi="Times New Roman" w:eastAsia="宋体" w:cs="Times New Roman"/>
                      <w:b/>
                      <w:bCs/>
                      <w:color w:val="FF0000"/>
                      <w:sz w:val="21"/>
                      <w:szCs w:val="21"/>
                      <w:lang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31" w:type="dxa"/>
                  <w:vMerge w:val="restar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FF0000"/>
                      <w:szCs w:val="21"/>
                      <w:lang w:val="en-US" w:eastAsia="zh-CN"/>
                    </w:rPr>
                  </w:pPr>
                  <w:r>
                    <w:rPr>
                      <w:rFonts w:hint="eastAsia" w:ascii="Times New Roman" w:hAnsi="Times New Roman" w:eastAsia="宋体" w:cs="Times New Roman"/>
                      <w:bCs/>
                      <w:color w:val="FF0000"/>
                      <w:szCs w:val="21"/>
                      <w:lang w:val="en-US" w:eastAsia="zh-CN"/>
                    </w:rPr>
                    <w:t>生产厂房</w:t>
                  </w:r>
                </w:p>
              </w:tc>
              <w:tc>
                <w:tcPr>
                  <w:tcW w:w="2210" w:type="dxa"/>
                  <w:tcBorders>
                    <w:tl2br w:val="nil"/>
                    <w:tr2bl w:val="nil"/>
                  </w:tcBorders>
                  <w:noWrap w:val="0"/>
                  <w:vAlign w:val="center"/>
                </w:tcPr>
                <w:p>
                  <w:pPr>
                    <w:pStyle w:val="176"/>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TSP</w:t>
                  </w:r>
                </w:p>
              </w:tc>
              <w:tc>
                <w:tcPr>
                  <w:tcW w:w="2234" w:type="dxa"/>
                  <w:tcBorders>
                    <w:tl2br w:val="nil"/>
                    <w:tr2bl w:val="nil"/>
                  </w:tcBorders>
                  <w:noWrap w:val="0"/>
                  <w:vAlign w:val="center"/>
                </w:tcPr>
                <w:p>
                  <w:pPr>
                    <w:pStyle w:val="176"/>
                    <w:rPr>
                      <w:rFonts w:hint="default" w:ascii="Times New Roman" w:hAnsi="Times New Roman" w:eastAsia="宋体" w:cs="Times New Roman"/>
                      <w:b/>
                      <w:bCs/>
                      <w:color w:val="FF0000"/>
                      <w:sz w:val="21"/>
                      <w:szCs w:val="21"/>
                      <w:lang w:val="en-US" w:eastAsia="zh-CN"/>
                    </w:rPr>
                  </w:pPr>
                  <w:r>
                    <w:rPr>
                      <w:rFonts w:hint="eastAsia" w:eastAsia="宋体" w:cs="Times New Roman"/>
                      <w:b/>
                      <w:bCs/>
                      <w:color w:val="FF0000"/>
                      <w:sz w:val="21"/>
                      <w:szCs w:val="21"/>
                      <w:lang w:val="en-US" w:eastAsia="zh-CN"/>
                    </w:rPr>
                    <w:t>0.6122</w:t>
                  </w:r>
                </w:p>
              </w:tc>
              <w:tc>
                <w:tcPr>
                  <w:tcW w:w="2320" w:type="dxa"/>
                  <w:tcBorders>
                    <w:tl2br w:val="nil"/>
                    <w:tr2bl w:val="nil"/>
                  </w:tcBorders>
                  <w:noWrap w:val="0"/>
                  <w:vAlign w:val="center"/>
                </w:tcPr>
                <w:p>
                  <w:pPr>
                    <w:pStyle w:val="176"/>
                    <w:jc w:val="center"/>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0.9</w:t>
                  </w:r>
                </w:p>
              </w:tc>
              <w:tc>
                <w:tcPr>
                  <w:tcW w:w="3102" w:type="dxa"/>
                  <w:tcBorders>
                    <w:tl2br w:val="nil"/>
                    <w:tr2bl w:val="nil"/>
                  </w:tcBorders>
                  <w:noWrap w:val="0"/>
                  <w:vAlign w:val="center"/>
                </w:tcPr>
                <w:p>
                  <w:pPr>
                    <w:pStyle w:val="176"/>
                    <w:jc w:val="center"/>
                    <w:rPr>
                      <w:rFonts w:hint="default" w:ascii="Times New Roman" w:hAnsi="Times New Roman" w:eastAsia="宋体" w:cs="Times New Roman"/>
                      <w:b/>
                      <w:bCs/>
                      <w:color w:val="FF0000"/>
                      <w:sz w:val="21"/>
                      <w:szCs w:val="21"/>
                      <w:lang w:val="en-US" w:eastAsia="zh-CN"/>
                    </w:rPr>
                  </w:pPr>
                  <w:r>
                    <w:rPr>
                      <w:rFonts w:hint="eastAsia" w:eastAsia="宋体" w:cs="Times New Roman"/>
                      <w:b/>
                      <w:bCs/>
                      <w:color w:val="FF0000"/>
                      <w:sz w:val="21"/>
                      <w:szCs w:val="21"/>
                      <w:lang w:val="en-US" w:eastAsia="zh-CN"/>
                    </w:rPr>
                    <w:t>0.6802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731" w:type="dxa"/>
                  <w:vMerge w:val="continue"/>
                  <w:tcBorders>
                    <w:tl2br w:val="nil"/>
                    <w:tr2bl w:val="nil"/>
                  </w:tcBorders>
                  <w:noWrap w:val="0"/>
                  <w:vAlign w:val="center"/>
                </w:tcPr>
                <w:p>
                  <w:pPr>
                    <w:adjustRightInd w:val="0"/>
                    <w:snapToGrid w:val="0"/>
                    <w:spacing w:line="240" w:lineRule="atLeast"/>
                    <w:jc w:val="center"/>
                    <w:rPr>
                      <w:rFonts w:hint="default" w:eastAsia="宋体" w:cs="Times New Roman"/>
                      <w:bCs/>
                      <w:color w:val="FF0000"/>
                      <w:szCs w:val="21"/>
                      <w:lang w:val="en-US" w:eastAsia="zh-CN"/>
                    </w:rPr>
                  </w:pPr>
                </w:p>
              </w:tc>
              <w:tc>
                <w:tcPr>
                  <w:tcW w:w="2210" w:type="dxa"/>
                  <w:tcBorders>
                    <w:tl2br w:val="nil"/>
                    <w:tr2bl w:val="nil"/>
                  </w:tcBorders>
                  <w:noWrap w:val="0"/>
                  <w:vAlign w:val="center"/>
                </w:tcPr>
                <w:p>
                  <w:pPr>
                    <w:pStyle w:val="176"/>
                    <w:rPr>
                      <w:rFonts w:hint="eastAsia" w:ascii="Times New Roman" w:hAnsi="Times New Roman" w:eastAsia="宋体" w:cs="Times New Roman"/>
                      <w:b/>
                      <w:bCs/>
                      <w:color w:val="FF0000"/>
                      <w:sz w:val="21"/>
                      <w:szCs w:val="21"/>
                      <w:lang w:val="en-US" w:eastAsia="zh-CN"/>
                    </w:rPr>
                  </w:pPr>
                  <w:r>
                    <w:rPr>
                      <w:rFonts w:hint="eastAsia" w:eastAsia="宋体" w:cs="Times New Roman"/>
                      <w:b/>
                      <w:bCs/>
                      <w:color w:val="FF0000"/>
                      <w:sz w:val="21"/>
                      <w:szCs w:val="21"/>
                      <w:lang w:val="en-US" w:eastAsia="zh-CN"/>
                    </w:rPr>
                    <w:t>氟化物</w:t>
                  </w:r>
                </w:p>
              </w:tc>
              <w:tc>
                <w:tcPr>
                  <w:tcW w:w="2234" w:type="dxa"/>
                  <w:tcBorders>
                    <w:tl2br w:val="nil"/>
                    <w:tr2bl w:val="nil"/>
                  </w:tcBorders>
                  <w:noWrap w:val="0"/>
                  <w:vAlign w:val="center"/>
                </w:tcPr>
                <w:p>
                  <w:pPr>
                    <w:pStyle w:val="176"/>
                    <w:rPr>
                      <w:rFonts w:hint="default" w:eastAsia="宋体" w:cs="Times New Roman"/>
                      <w:b/>
                      <w:bCs/>
                      <w:color w:val="FF0000"/>
                      <w:sz w:val="21"/>
                      <w:szCs w:val="21"/>
                      <w:lang w:val="en-US" w:eastAsia="zh-CN"/>
                    </w:rPr>
                  </w:pPr>
                  <w:r>
                    <w:rPr>
                      <w:rFonts w:hint="eastAsia" w:eastAsia="宋体" w:cs="Times New Roman"/>
                      <w:b/>
                      <w:bCs/>
                      <w:color w:val="FF0000"/>
                      <w:sz w:val="21"/>
                      <w:szCs w:val="21"/>
                      <w:lang w:val="en-US" w:eastAsia="zh-CN"/>
                    </w:rPr>
                    <w:t>0.00074</w:t>
                  </w:r>
                </w:p>
              </w:tc>
              <w:tc>
                <w:tcPr>
                  <w:tcW w:w="2320" w:type="dxa"/>
                  <w:tcBorders>
                    <w:tl2br w:val="nil"/>
                    <w:tr2bl w:val="nil"/>
                  </w:tcBorders>
                  <w:noWrap w:val="0"/>
                  <w:vAlign w:val="center"/>
                </w:tcPr>
                <w:p>
                  <w:pPr>
                    <w:pStyle w:val="176"/>
                    <w:jc w:val="center"/>
                    <w:rPr>
                      <w:rFonts w:hint="default" w:ascii="Times New Roman" w:hAnsi="Times New Roman" w:eastAsia="宋体" w:cs="Times New Roman"/>
                      <w:b/>
                      <w:bCs/>
                      <w:color w:val="FF0000"/>
                      <w:sz w:val="21"/>
                      <w:szCs w:val="21"/>
                      <w:lang w:val="en-US" w:eastAsia="zh-CN"/>
                    </w:rPr>
                  </w:pPr>
                  <w:r>
                    <w:rPr>
                      <w:rFonts w:hint="eastAsia" w:eastAsia="宋体" w:cs="Times New Roman"/>
                      <w:b/>
                      <w:bCs/>
                      <w:color w:val="FF0000"/>
                      <w:sz w:val="21"/>
                      <w:szCs w:val="21"/>
                      <w:lang w:val="en-US" w:eastAsia="zh-CN"/>
                    </w:rPr>
                    <w:t>0.021</w:t>
                  </w:r>
                </w:p>
              </w:tc>
              <w:tc>
                <w:tcPr>
                  <w:tcW w:w="3102" w:type="dxa"/>
                  <w:tcBorders>
                    <w:tl2br w:val="nil"/>
                    <w:tr2bl w:val="nil"/>
                  </w:tcBorders>
                  <w:noWrap w:val="0"/>
                  <w:vAlign w:val="center"/>
                </w:tcPr>
                <w:p>
                  <w:pPr>
                    <w:pStyle w:val="176"/>
                    <w:jc w:val="center"/>
                    <w:rPr>
                      <w:rFonts w:hint="default" w:eastAsia="宋体" w:cs="Times New Roman"/>
                      <w:b/>
                      <w:bCs/>
                      <w:color w:val="FF0000"/>
                      <w:sz w:val="21"/>
                      <w:szCs w:val="21"/>
                      <w:lang w:val="en-US" w:eastAsia="zh-CN"/>
                    </w:rPr>
                  </w:pPr>
                  <w:r>
                    <w:rPr>
                      <w:rFonts w:hint="eastAsia" w:eastAsia="宋体" w:cs="Times New Roman"/>
                      <w:b/>
                      <w:bCs/>
                      <w:color w:val="FF0000"/>
                      <w:sz w:val="21"/>
                      <w:szCs w:val="21"/>
                      <w:lang w:val="en-US" w:eastAsia="zh-CN"/>
                    </w:rPr>
                    <w:t>0.0352</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由上表可知，</w:t>
            </w:r>
            <w:r>
              <w:rPr>
                <w:rFonts w:hint="default" w:ascii="Times New Roman" w:hAnsi="Times New Roman" w:eastAsia="宋体" w:cs="Times New Roman"/>
                <w:color w:val="auto"/>
                <w:sz w:val="24"/>
                <w:szCs w:val="24"/>
                <w:lang w:val="en-US" w:eastAsia="zh-CN"/>
              </w:rPr>
              <w:t>本次评价</w:t>
            </w:r>
            <w:r>
              <w:rPr>
                <w:rFonts w:hint="eastAsia" w:ascii="Times New Roman" w:hAnsi="Times New Roman" w:eastAsia="宋体" w:cs="Times New Roman"/>
                <w:color w:val="auto"/>
                <w:sz w:val="24"/>
                <w:szCs w:val="24"/>
                <w:lang w:val="en-US" w:eastAsia="zh-CN"/>
              </w:rPr>
              <w:t>生产厂房</w:t>
            </w:r>
            <w:r>
              <w:rPr>
                <w:rFonts w:hint="default" w:ascii="Times New Roman" w:hAnsi="Times New Roman" w:eastAsia="宋体" w:cs="Times New Roman"/>
                <w:color w:val="auto"/>
                <w:sz w:val="24"/>
                <w:szCs w:val="24"/>
                <w:lang w:val="en-US" w:eastAsia="zh-CN"/>
              </w:rPr>
              <w:t>选择</w:t>
            </w:r>
            <w:r>
              <w:rPr>
                <w:rFonts w:hint="eastAsia" w:cs="Times New Roman"/>
                <w:bCs/>
                <w:color w:val="auto"/>
                <w:szCs w:val="21"/>
                <w:lang w:val="en-US" w:eastAsia="zh-CN"/>
              </w:rPr>
              <w:t>TSP</w:t>
            </w:r>
            <w:r>
              <w:rPr>
                <w:rFonts w:hint="default" w:ascii="Times New Roman" w:hAnsi="Times New Roman" w:eastAsia="宋体" w:cs="Times New Roman"/>
                <w:color w:val="auto"/>
                <w:sz w:val="24"/>
                <w:szCs w:val="24"/>
                <w:lang w:val="en-US" w:eastAsia="zh-CN"/>
              </w:rPr>
              <w:t>作为特征大气有害物质进行分析</w:t>
            </w:r>
            <w:r>
              <w:rPr>
                <w:rFonts w:hint="default"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（2）卫生防护距离初值计算</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根据《大气有害物质无组织排放卫生防护距离推导技术导则（GB/T39499-2020）》，卫生防护距离计算公式为：</w:t>
            </w:r>
          </w:p>
          <w:p>
            <w:pPr>
              <w:spacing w:line="360" w:lineRule="auto"/>
              <w:ind w:firstLine="48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114300" distR="114300">
                  <wp:extent cx="1715135" cy="421640"/>
                  <wp:effectExtent l="0" t="0" r="18415" b="1651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13"/>
                          <a:stretch>
                            <a:fillRect/>
                          </a:stretch>
                        </pic:blipFill>
                        <pic:spPr>
                          <a:xfrm>
                            <a:off x="0" y="0"/>
                            <a:ext cx="1715135" cy="421640"/>
                          </a:xfrm>
                          <a:prstGeom prst="rect">
                            <a:avLst/>
                          </a:prstGeom>
                          <a:noFill/>
                          <a:ln>
                            <a:noFill/>
                          </a:ln>
                        </pic:spPr>
                      </pic:pic>
                    </a:graphicData>
                  </a:graphic>
                </wp:inline>
              </w:drawing>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pPr>
              <w:spacing w:line="360" w:lineRule="auto"/>
              <w:ind w:firstLine="1024" w:firstLineChars="42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c</w:t>
            </w:r>
            <w:r>
              <w:rPr>
                <w:rFonts w:hint="default" w:ascii="Times New Roman" w:hAnsi="Times New Roman" w:eastAsia="宋体" w:cs="Times New Roman"/>
                <w:color w:val="auto"/>
                <w:sz w:val="24"/>
                <w:szCs w:val="24"/>
                <w:highlight w:val="none"/>
              </w:rPr>
              <w:t>—污染物的无组织排放源强，kg/h；</w:t>
            </w:r>
          </w:p>
          <w:p>
            <w:pPr>
              <w:spacing w:line="360" w:lineRule="auto"/>
              <w:ind w:firstLine="1024" w:firstLineChars="42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m</w:t>
            </w:r>
            <w:r>
              <w:rPr>
                <w:rFonts w:hint="default" w:ascii="Times New Roman" w:hAnsi="Times New Roman" w:eastAsia="宋体" w:cs="Times New Roman"/>
                <w:color w:val="auto"/>
                <w:sz w:val="24"/>
                <w:szCs w:val="24"/>
                <w:highlight w:val="none"/>
              </w:rPr>
              <w:t>—污染物的标准浓度限值，mg/m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spacing w:line="360" w:lineRule="auto"/>
              <w:ind w:firstLine="1024" w:firstLineChars="42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rPr>
              <w:t>—卫生防护距离，m；</w:t>
            </w:r>
          </w:p>
          <w:p>
            <w:pPr>
              <w:spacing w:line="360" w:lineRule="auto"/>
              <w:ind w:firstLine="1024" w:firstLineChars="42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r</w:t>
            </w:r>
            <w:r>
              <w:rPr>
                <w:rFonts w:hint="default" w:ascii="Times New Roman" w:hAnsi="Times New Roman" w:eastAsia="宋体" w:cs="Times New Roman"/>
                <w:color w:val="auto"/>
                <w:sz w:val="24"/>
                <w:szCs w:val="24"/>
                <w:highlight w:val="none"/>
              </w:rPr>
              <w:t>—生产单元的等效半径，m。</w:t>
            </w:r>
          </w:p>
          <w:p>
            <w:pPr>
              <w:spacing w:line="360" w:lineRule="auto"/>
              <w:ind w:firstLine="1024" w:firstLineChars="42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B、C、D—</w:t>
            </w:r>
            <w:r>
              <w:rPr>
                <w:rFonts w:hint="default" w:ascii="Times New Roman" w:hAnsi="Times New Roman" w:eastAsia="宋体" w:cs="Times New Roman"/>
                <w:color w:val="auto"/>
                <w:kern w:val="0"/>
                <w:sz w:val="24"/>
                <w:highlight w:val="none"/>
              </w:rPr>
              <w:t>卫生防护距离计算系数，无因次，</w:t>
            </w:r>
            <w:r>
              <w:rPr>
                <w:rFonts w:hint="default" w:ascii="Times New Roman" w:hAnsi="Times New Roman" w:eastAsia="宋体" w:cs="Times New Roman"/>
                <w:color w:val="auto"/>
                <w:kern w:val="0"/>
                <w:sz w:val="24"/>
                <w:highlight w:val="none"/>
                <w:lang w:val="en-US" w:eastAsia="zh-CN"/>
              </w:rPr>
              <w:t>根据工业企业所在地区近5年</w:t>
            </w:r>
            <w:r>
              <w:rPr>
                <w:rFonts w:hint="default" w:ascii="Times New Roman" w:hAnsi="Times New Roman" w:eastAsia="宋体" w:cs="Times New Roman"/>
                <w:color w:val="auto"/>
                <w:kern w:val="0"/>
                <w:sz w:val="24"/>
                <w:highlight w:val="none"/>
              </w:rPr>
              <w:t>平均风速及</w:t>
            </w:r>
            <w:r>
              <w:rPr>
                <w:rFonts w:hint="default" w:ascii="Times New Roman" w:hAnsi="Times New Roman" w:eastAsia="宋体" w:cs="Times New Roman"/>
                <w:color w:val="auto"/>
                <w:kern w:val="0"/>
                <w:sz w:val="24"/>
                <w:highlight w:val="none"/>
                <w:lang w:val="en-US" w:eastAsia="zh-CN"/>
              </w:rPr>
              <w:t>大气污染源构成类别从表4-4查取</w:t>
            </w:r>
            <w:r>
              <w:rPr>
                <w:rFonts w:hint="default" w:ascii="Times New Roman" w:hAnsi="Times New Roman" w:eastAsia="宋体" w:cs="Times New Roman"/>
                <w:color w:val="auto"/>
                <w:sz w:val="24"/>
                <w:szCs w:val="24"/>
                <w:highlight w:val="none"/>
              </w:rPr>
              <w:t>。</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等效半径r的计算公式如下：</w:t>
            </w:r>
          </w:p>
          <w:p>
            <w:pPr>
              <w:spacing w:line="360" w:lineRule="auto"/>
              <w:ind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480695" cy="410210"/>
                  <wp:effectExtent l="0" t="0" r="14605" b="825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14"/>
                          <a:stretch>
                            <a:fillRect/>
                          </a:stretch>
                        </pic:blipFill>
                        <pic:spPr>
                          <a:xfrm>
                            <a:off x="0" y="0"/>
                            <a:ext cx="480695" cy="410210"/>
                          </a:xfrm>
                          <a:prstGeom prst="rect">
                            <a:avLst/>
                          </a:prstGeom>
                          <a:noFill/>
                          <a:ln>
                            <a:noFill/>
                          </a:ln>
                        </pic:spPr>
                      </pic:pic>
                    </a:graphicData>
                  </a:graphic>
                </wp:inline>
              </w:drawing>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—无组织排放源所在生产单元占地面积，m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eastAsia" w:cs="Times New Roman"/>
                <w:b/>
                <w:bCs/>
                <w:color w:val="auto"/>
                <w:highlight w:val="none"/>
                <w:lang w:val="en-US" w:eastAsia="zh-CN"/>
              </w:rPr>
              <w:t>4</w:t>
            </w:r>
            <w:r>
              <w:rPr>
                <w:rFonts w:hint="default" w:ascii="Times New Roman" w:hAnsi="Times New Roman" w:eastAsia="宋体" w:cs="Times New Roman"/>
                <w:b/>
                <w:bCs/>
                <w:color w:val="auto"/>
                <w:highlight w:val="none"/>
              </w:rPr>
              <w:t>卫生防护距离计算系数</w:t>
            </w:r>
          </w:p>
          <w:tbl>
            <w:tblPr>
              <w:tblStyle w:val="57"/>
              <w:tblW w:w="11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029"/>
              <w:gridCol w:w="914"/>
              <w:gridCol w:w="914"/>
              <w:gridCol w:w="920"/>
              <w:gridCol w:w="914"/>
              <w:gridCol w:w="914"/>
              <w:gridCol w:w="920"/>
              <w:gridCol w:w="914"/>
              <w:gridCol w:w="915"/>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1351" w:type="dxa"/>
                  <w:vMerge w:val="restart"/>
                  <w:tcBorders>
                    <w:tl2br w:val="nil"/>
                    <w:tr2bl w:val="nil"/>
                  </w:tcBorders>
                  <w:noWrap w:val="0"/>
                  <w:vAlign w:val="center"/>
                </w:tcPr>
                <w:p>
                  <w:pPr>
                    <w:spacing w:line="240" w:lineRule="auto"/>
                    <w:ind w:right="-48"/>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卫生防护距离</w:t>
                  </w:r>
                  <w:r>
                    <w:rPr>
                      <w:rFonts w:hint="default" w:ascii="Times New Roman" w:hAnsi="Times New Roman" w:eastAsia="宋体" w:cs="Times New Roman"/>
                      <w:b/>
                      <w:bCs/>
                      <w:color w:val="auto"/>
                      <w:szCs w:val="21"/>
                      <w:highlight w:val="none"/>
                    </w:rPr>
                    <w:t>计算系数</w:t>
                  </w:r>
                </w:p>
              </w:tc>
              <w:tc>
                <w:tcPr>
                  <w:tcW w:w="2029" w:type="dxa"/>
                  <w:vMerge w:val="restart"/>
                  <w:tcBorders>
                    <w:tl2br w:val="nil"/>
                    <w:tr2bl w:val="nil"/>
                  </w:tcBorders>
                  <w:noWrap w:val="0"/>
                  <w:vAlign w:val="center"/>
                </w:tcPr>
                <w:p>
                  <w:pPr>
                    <w:spacing w:line="240" w:lineRule="auto"/>
                    <w:ind w:right="-48"/>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工业企业所在地区近5年</w:t>
                  </w:r>
                  <w:r>
                    <w:rPr>
                      <w:rFonts w:hint="default" w:ascii="Times New Roman" w:hAnsi="Times New Roman" w:eastAsia="宋体" w:cs="Times New Roman"/>
                      <w:b/>
                      <w:bCs/>
                      <w:color w:val="auto"/>
                      <w:szCs w:val="21"/>
                      <w:highlight w:val="none"/>
                    </w:rPr>
                    <w:t>平均风速</w:t>
                  </w:r>
                  <w:r>
                    <w:rPr>
                      <w:rFonts w:hint="default" w:ascii="Times New Roman" w:hAnsi="Times New Roman" w:eastAsia="宋体" w:cs="Times New Roman"/>
                      <w:b/>
                      <w:bCs/>
                      <w:color w:val="auto"/>
                      <w:szCs w:val="21"/>
                      <w:highlight w:val="none"/>
                      <w:lang w:val="en-US" w:eastAsia="zh-CN"/>
                    </w:rPr>
                    <w:t>/</w:t>
                  </w:r>
                </w:p>
                <w:p>
                  <w:pPr>
                    <w:spacing w:line="240" w:lineRule="auto"/>
                    <w:ind w:right="-48"/>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w:t>
                  </w:r>
                  <w:r>
                    <w:rPr>
                      <w:rFonts w:hint="default" w:ascii="Times New Roman" w:hAnsi="Times New Roman" w:eastAsia="宋体" w:cs="Times New Roman"/>
                      <w:b/>
                      <w:bCs/>
                      <w:color w:val="auto"/>
                      <w:szCs w:val="21"/>
                      <w:highlight w:val="none"/>
                    </w:rPr>
                    <w:t>m/s</w:t>
                  </w:r>
                  <w:r>
                    <w:rPr>
                      <w:rFonts w:hint="default" w:ascii="Times New Roman" w:hAnsi="Times New Roman" w:eastAsia="宋体" w:cs="Times New Roman"/>
                      <w:b/>
                      <w:bCs/>
                      <w:color w:val="auto"/>
                      <w:szCs w:val="21"/>
                      <w:highlight w:val="none"/>
                      <w:lang w:val="en-US" w:eastAsia="zh-CN"/>
                    </w:rPr>
                    <w:t>)</w:t>
                  </w:r>
                </w:p>
              </w:tc>
              <w:tc>
                <w:tcPr>
                  <w:tcW w:w="8258" w:type="dxa"/>
                  <w:gridSpan w:val="9"/>
                  <w:tcBorders>
                    <w:tl2br w:val="nil"/>
                    <w:tr2bl w:val="nil"/>
                  </w:tcBorders>
                  <w:noWrap w:val="0"/>
                  <w:vAlign w:val="center"/>
                </w:tcPr>
                <w:p>
                  <w:pPr>
                    <w:spacing w:line="240" w:lineRule="auto"/>
                    <w:ind w:left="-48" w:right="-48" w:firstLine="422"/>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卫生防护距离L</w:t>
                  </w:r>
                  <w:r>
                    <w:rPr>
                      <w:rFonts w:hint="default" w:ascii="Times New Roman" w:hAnsi="Times New Roman" w:eastAsia="宋体" w:cs="Times New Roman"/>
                      <w:b/>
                      <w:bCs/>
                      <w:color w:val="auto"/>
                      <w:szCs w:val="21"/>
                      <w:highlight w:val="none"/>
                      <w:lang w:val="en-US" w:eastAsia="zh-CN"/>
                    </w:rPr>
                    <w:t>/</w:t>
                  </w:r>
                  <w:r>
                    <w:rPr>
                      <w:rFonts w:hint="default" w:ascii="Times New Roman" w:hAnsi="Times New Roman" w:eastAsia="宋体" w:cs="Times New Roman"/>
                      <w:b/>
                      <w:bCs/>
                      <w:color w:val="auto"/>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51" w:type="dxa"/>
                  <w:vMerge w:val="continue"/>
                  <w:tcBorders>
                    <w:tl2br w:val="nil"/>
                    <w:tr2bl w:val="nil"/>
                  </w:tcBorders>
                  <w:noWrap w:val="0"/>
                  <w:vAlign w:val="center"/>
                </w:tcPr>
                <w:p>
                  <w:pPr>
                    <w:widowControl/>
                    <w:spacing w:line="240" w:lineRule="auto"/>
                    <w:ind w:firstLine="422"/>
                    <w:jc w:val="center"/>
                    <w:rPr>
                      <w:rFonts w:hint="default" w:ascii="Times New Roman" w:hAnsi="Times New Roman" w:eastAsia="宋体" w:cs="Times New Roman"/>
                      <w:b/>
                      <w:bCs/>
                      <w:color w:val="auto"/>
                      <w:szCs w:val="21"/>
                      <w:highlight w:val="none"/>
                    </w:rPr>
                  </w:pPr>
                </w:p>
              </w:tc>
              <w:tc>
                <w:tcPr>
                  <w:tcW w:w="2029" w:type="dxa"/>
                  <w:vMerge w:val="continue"/>
                  <w:tcBorders>
                    <w:tl2br w:val="nil"/>
                    <w:tr2bl w:val="nil"/>
                  </w:tcBorders>
                  <w:noWrap w:val="0"/>
                  <w:vAlign w:val="center"/>
                </w:tcPr>
                <w:p>
                  <w:pPr>
                    <w:widowControl/>
                    <w:spacing w:line="240" w:lineRule="auto"/>
                    <w:ind w:firstLine="422"/>
                    <w:jc w:val="center"/>
                    <w:rPr>
                      <w:rFonts w:hint="default" w:ascii="Times New Roman" w:hAnsi="Times New Roman" w:eastAsia="宋体" w:cs="Times New Roman"/>
                      <w:b/>
                      <w:bCs/>
                      <w:color w:val="auto"/>
                      <w:szCs w:val="21"/>
                      <w:highlight w:val="none"/>
                    </w:rPr>
                  </w:pP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L≤1000</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1000&lt;L≤2000</w:t>
                  </w:r>
                </w:p>
              </w:tc>
              <w:tc>
                <w:tcPr>
                  <w:tcW w:w="2762"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L&gt;2000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51" w:type="dxa"/>
                  <w:vMerge w:val="continue"/>
                  <w:tcBorders>
                    <w:tl2br w:val="nil"/>
                    <w:tr2bl w:val="nil"/>
                  </w:tcBorders>
                  <w:noWrap w:val="0"/>
                  <w:vAlign w:val="center"/>
                </w:tcPr>
                <w:p>
                  <w:pPr>
                    <w:widowControl/>
                    <w:spacing w:line="240" w:lineRule="auto"/>
                    <w:ind w:firstLine="422"/>
                    <w:jc w:val="center"/>
                    <w:rPr>
                      <w:rFonts w:hint="default" w:ascii="Times New Roman" w:hAnsi="Times New Roman" w:eastAsia="宋体" w:cs="Times New Roman"/>
                      <w:b/>
                      <w:bCs/>
                      <w:color w:val="auto"/>
                      <w:szCs w:val="21"/>
                      <w:highlight w:val="none"/>
                    </w:rPr>
                  </w:pPr>
                </w:p>
              </w:tc>
              <w:tc>
                <w:tcPr>
                  <w:tcW w:w="2029" w:type="dxa"/>
                  <w:vMerge w:val="continue"/>
                  <w:tcBorders>
                    <w:tl2br w:val="nil"/>
                    <w:tr2bl w:val="nil"/>
                  </w:tcBorders>
                  <w:noWrap w:val="0"/>
                  <w:vAlign w:val="center"/>
                </w:tcPr>
                <w:p>
                  <w:pPr>
                    <w:widowControl/>
                    <w:spacing w:line="240" w:lineRule="auto"/>
                    <w:ind w:firstLine="422"/>
                    <w:jc w:val="center"/>
                    <w:rPr>
                      <w:rFonts w:hint="default" w:ascii="Times New Roman" w:hAnsi="Times New Roman" w:eastAsia="宋体" w:cs="Times New Roman"/>
                      <w:b/>
                      <w:bCs/>
                      <w:color w:val="auto"/>
                      <w:szCs w:val="21"/>
                      <w:highlight w:val="none"/>
                    </w:rPr>
                  </w:pPr>
                </w:p>
              </w:tc>
              <w:tc>
                <w:tcPr>
                  <w:tcW w:w="8258" w:type="dxa"/>
                  <w:gridSpan w:val="9"/>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工业企业大气污染源构成</w:t>
                  </w:r>
                  <w:r>
                    <w:rPr>
                      <w:rFonts w:hint="default" w:ascii="Times New Roman" w:hAnsi="Times New Roman" w:eastAsia="宋体" w:cs="Times New Roman"/>
                      <w:color w:val="auto"/>
                      <w:szCs w:val="21"/>
                      <w:highlight w:val="none"/>
                      <w:lang w:val="en-US" w:eastAsia="zh-C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51" w:type="dxa"/>
                  <w:vMerge w:val="continue"/>
                  <w:tcBorders>
                    <w:tl2br w:val="nil"/>
                    <w:tr2bl w:val="nil"/>
                  </w:tcBorders>
                  <w:noWrap w:val="0"/>
                  <w:vAlign w:val="center"/>
                </w:tcPr>
                <w:p>
                  <w:pPr>
                    <w:widowControl/>
                    <w:spacing w:line="240" w:lineRule="auto"/>
                    <w:ind w:firstLine="422"/>
                    <w:jc w:val="center"/>
                    <w:rPr>
                      <w:rFonts w:hint="default" w:ascii="Times New Roman" w:hAnsi="Times New Roman" w:eastAsia="宋体" w:cs="Times New Roman"/>
                      <w:b/>
                      <w:bCs/>
                      <w:color w:val="auto"/>
                      <w:szCs w:val="21"/>
                      <w:highlight w:val="none"/>
                    </w:rPr>
                  </w:pPr>
                </w:p>
              </w:tc>
              <w:tc>
                <w:tcPr>
                  <w:tcW w:w="2029" w:type="dxa"/>
                  <w:vMerge w:val="continue"/>
                  <w:tcBorders>
                    <w:tl2br w:val="nil"/>
                    <w:tr2bl w:val="nil"/>
                  </w:tcBorders>
                  <w:noWrap w:val="0"/>
                  <w:vAlign w:val="center"/>
                </w:tcPr>
                <w:p>
                  <w:pPr>
                    <w:widowControl/>
                    <w:spacing w:line="240" w:lineRule="auto"/>
                    <w:ind w:firstLine="422"/>
                    <w:jc w:val="center"/>
                    <w:rPr>
                      <w:rFonts w:hint="default" w:ascii="Times New Roman" w:hAnsi="Times New Roman" w:eastAsia="宋体" w:cs="Times New Roman"/>
                      <w:b/>
                      <w:bCs/>
                      <w:color w:val="auto"/>
                      <w:szCs w:val="21"/>
                      <w:highlight w:val="none"/>
                    </w:rPr>
                  </w:pPr>
                </w:p>
              </w:tc>
              <w:tc>
                <w:tcPr>
                  <w:tcW w:w="9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Ⅰ</w:t>
                  </w:r>
                </w:p>
              </w:tc>
              <w:tc>
                <w:tcPr>
                  <w:tcW w:w="9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Ⅱ</w:t>
                  </w:r>
                </w:p>
              </w:tc>
              <w:tc>
                <w:tcPr>
                  <w:tcW w:w="92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w:t>
                  </w:r>
                </w:p>
              </w:tc>
              <w:tc>
                <w:tcPr>
                  <w:tcW w:w="9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Ⅰ</w:t>
                  </w:r>
                </w:p>
              </w:tc>
              <w:tc>
                <w:tcPr>
                  <w:tcW w:w="9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Ⅱ</w:t>
                  </w:r>
                </w:p>
              </w:tc>
              <w:tc>
                <w:tcPr>
                  <w:tcW w:w="92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w:t>
                  </w:r>
                </w:p>
              </w:tc>
              <w:tc>
                <w:tcPr>
                  <w:tcW w:w="9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Ⅰ</w:t>
                  </w:r>
                </w:p>
              </w:tc>
              <w:tc>
                <w:tcPr>
                  <w:tcW w:w="91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Ⅱ</w:t>
                  </w:r>
                </w:p>
              </w:tc>
              <w:tc>
                <w:tcPr>
                  <w:tcW w:w="933"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51" w:type="dxa"/>
                  <w:vMerge w:val="restart"/>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A</w:t>
                  </w:r>
                </w:p>
              </w:tc>
              <w:tc>
                <w:tcPr>
                  <w:tcW w:w="2029"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&lt;2</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920"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920"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c>
                <w:tcPr>
                  <w:tcW w:w="915"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c>
                <w:tcPr>
                  <w:tcW w:w="933"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51" w:type="dxa"/>
                  <w:vMerge w:val="continue"/>
                  <w:tcBorders>
                    <w:tl2br w:val="nil"/>
                    <w:tr2bl w:val="nil"/>
                  </w:tcBorders>
                  <w:noWrap w:val="0"/>
                  <w:vAlign w:val="center"/>
                </w:tcPr>
                <w:p>
                  <w:pPr>
                    <w:widowControl/>
                    <w:spacing w:line="240" w:lineRule="auto"/>
                    <w:ind w:firstLine="420"/>
                    <w:jc w:val="center"/>
                    <w:rPr>
                      <w:rFonts w:hint="default" w:ascii="Times New Roman" w:hAnsi="Times New Roman" w:eastAsia="宋体" w:cs="Times New Roman"/>
                      <w:color w:val="auto"/>
                      <w:szCs w:val="21"/>
                      <w:highlight w:val="none"/>
                    </w:rPr>
                  </w:pPr>
                </w:p>
              </w:tc>
              <w:tc>
                <w:tcPr>
                  <w:tcW w:w="2029"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470</w:t>
                  </w:r>
                </w:p>
              </w:tc>
              <w:tc>
                <w:tcPr>
                  <w:tcW w:w="920"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470</w:t>
                  </w:r>
                </w:p>
              </w:tc>
              <w:tc>
                <w:tcPr>
                  <w:tcW w:w="920"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380</w:t>
                  </w:r>
                </w:p>
              </w:tc>
              <w:tc>
                <w:tcPr>
                  <w:tcW w:w="915"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250</w:t>
                  </w:r>
                </w:p>
              </w:tc>
              <w:tc>
                <w:tcPr>
                  <w:tcW w:w="933"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51" w:type="dxa"/>
                  <w:vMerge w:val="continue"/>
                  <w:tcBorders>
                    <w:tl2br w:val="nil"/>
                    <w:tr2bl w:val="nil"/>
                  </w:tcBorders>
                  <w:noWrap w:val="0"/>
                  <w:vAlign w:val="center"/>
                </w:tcPr>
                <w:p>
                  <w:pPr>
                    <w:widowControl/>
                    <w:spacing w:line="240" w:lineRule="auto"/>
                    <w:ind w:firstLine="420"/>
                    <w:jc w:val="center"/>
                    <w:rPr>
                      <w:rFonts w:hint="default" w:ascii="Times New Roman" w:hAnsi="Times New Roman" w:eastAsia="宋体" w:cs="Times New Roman"/>
                      <w:color w:val="auto"/>
                      <w:szCs w:val="21"/>
                      <w:highlight w:val="none"/>
                    </w:rPr>
                  </w:pPr>
                </w:p>
              </w:tc>
              <w:tc>
                <w:tcPr>
                  <w:tcW w:w="2029"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&gt;4</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530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920"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530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920"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260</w:t>
                  </w:r>
                </w:p>
              </w:tc>
              <w:tc>
                <w:tcPr>
                  <w:tcW w:w="914"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290</w:t>
                  </w:r>
                </w:p>
              </w:tc>
              <w:tc>
                <w:tcPr>
                  <w:tcW w:w="915"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190</w:t>
                  </w:r>
                </w:p>
              </w:tc>
              <w:tc>
                <w:tcPr>
                  <w:tcW w:w="933"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51" w:type="dxa"/>
                  <w:vMerge w:val="restart"/>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B</w:t>
                  </w:r>
                </w:p>
              </w:tc>
              <w:tc>
                <w:tcPr>
                  <w:tcW w:w="2029"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&lt;2</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0.015</w:t>
                  </w:r>
                </w:p>
              </w:tc>
              <w:tc>
                <w:tcPr>
                  <w:tcW w:w="2762"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51" w:type="dxa"/>
                  <w:vMerge w:val="continue"/>
                  <w:tcBorders>
                    <w:tl2br w:val="nil"/>
                    <w:tr2bl w:val="nil"/>
                  </w:tcBorders>
                  <w:noWrap w:val="0"/>
                  <w:vAlign w:val="center"/>
                </w:tcPr>
                <w:p>
                  <w:pPr>
                    <w:widowControl/>
                    <w:spacing w:line="240" w:lineRule="auto"/>
                    <w:ind w:firstLine="420"/>
                    <w:jc w:val="center"/>
                    <w:rPr>
                      <w:rFonts w:hint="default" w:ascii="Times New Roman" w:hAnsi="Times New Roman" w:eastAsia="宋体" w:cs="Times New Roman"/>
                      <w:color w:val="auto"/>
                      <w:szCs w:val="21"/>
                      <w:highlight w:val="none"/>
                    </w:rPr>
                  </w:pPr>
                </w:p>
              </w:tc>
              <w:tc>
                <w:tcPr>
                  <w:tcW w:w="2029"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&gt;2</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0.021</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0.036</w:t>
                  </w:r>
                </w:p>
              </w:tc>
              <w:tc>
                <w:tcPr>
                  <w:tcW w:w="2762"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51" w:type="dxa"/>
                  <w:vMerge w:val="restart"/>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w:t>
                  </w:r>
                </w:p>
              </w:tc>
              <w:tc>
                <w:tcPr>
                  <w:tcW w:w="2029"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&lt;2</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1.85</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1.79</w:t>
                  </w:r>
                </w:p>
              </w:tc>
              <w:tc>
                <w:tcPr>
                  <w:tcW w:w="2762"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51" w:type="dxa"/>
                  <w:vMerge w:val="continue"/>
                  <w:tcBorders>
                    <w:tl2br w:val="nil"/>
                    <w:tr2bl w:val="nil"/>
                  </w:tcBorders>
                  <w:noWrap w:val="0"/>
                  <w:vAlign w:val="center"/>
                </w:tcPr>
                <w:p>
                  <w:pPr>
                    <w:widowControl/>
                    <w:spacing w:line="240" w:lineRule="auto"/>
                    <w:ind w:firstLine="420"/>
                    <w:jc w:val="center"/>
                    <w:rPr>
                      <w:rFonts w:hint="default" w:ascii="Times New Roman" w:hAnsi="Times New Roman" w:eastAsia="宋体" w:cs="Times New Roman"/>
                      <w:color w:val="auto"/>
                      <w:szCs w:val="21"/>
                      <w:highlight w:val="none"/>
                    </w:rPr>
                  </w:pPr>
                </w:p>
              </w:tc>
              <w:tc>
                <w:tcPr>
                  <w:tcW w:w="2029"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&gt;2</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1.85</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1.77</w:t>
                  </w:r>
                </w:p>
              </w:tc>
              <w:tc>
                <w:tcPr>
                  <w:tcW w:w="2762"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51" w:type="dxa"/>
                  <w:vMerge w:val="restart"/>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D</w:t>
                  </w:r>
                </w:p>
              </w:tc>
              <w:tc>
                <w:tcPr>
                  <w:tcW w:w="2029"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&lt;2</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0.78</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0.78</w:t>
                  </w:r>
                </w:p>
              </w:tc>
              <w:tc>
                <w:tcPr>
                  <w:tcW w:w="2762"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351" w:type="dxa"/>
                  <w:vMerge w:val="continue"/>
                  <w:tcBorders>
                    <w:tl2br w:val="nil"/>
                    <w:tr2bl w:val="nil"/>
                  </w:tcBorders>
                  <w:noWrap w:val="0"/>
                  <w:vAlign w:val="center"/>
                </w:tcPr>
                <w:p>
                  <w:pPr>
                    <w:widowControl/>
                    <w:spacing w:line="240" w:lineRule="auto"/>
                    <w:ind w:firstLine="420"/>
                    <w:jc w:val="center"/>
                    <w:rPr>
                      <w:rFonts w:hint="default" w:ascii="Times New Roman" w:hAnsi="Times New Roman" w:eastAsia="宋体" w:cs="Times New Roman"/>
                      <w:color w:val="auto"/>
                      <w:szCs w:val="21"/>
                      <w:highlight w:val="none"/>
                    </w:rPr>
                  </w:pPr>
                </w:p>
              </w:tc>
              <w:tc>
                <w:tcPr>
                  <w:tcW w:w="2029" w:type="dxa"/>
                  <w:tcBorders>
                    <w:tl2br w:val="nil"/>
                    <w:tr2bl w:val="nil"/>
                  </w:tcBorders>
                  <w:noWrap w:val="0"/>
                  <w:vAlign w:val="center"/>
                </w:tcPr>
                <w:p>
                  <w:pPr>
                    <w:spacing w:line="240" w:lineRule="auto"/>
                    <w:ind w:right="-48"/>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&gt;2</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0.84</w:t>
                  </w:r>
                </w:p>
              </w:tc>
              <w:tc>
                <w:tcPr>
                  <w:tcW w:w="2748"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0.84</w:t>
                  </w:r>
                </w:p>
              </w:tc>
              <w:tc>
                <w:tcPr>
                  <w:tcW w:w="2762" w:type="dxa"/>
                  <w:gridSpan w:val="3"/>
                  <w:tcBorders>
                    <w:tl2br w:val="nil"/>
                    <w:tr2bl w:val="nil"/>
                  </w:tcBorders>
                  <w:noWrap w:val="0"/>
                  <w:vAlign w:val="center"/>
                </w:tcPr>
                <w:p>
                  <w:pPr>
                    <w:spacing w:line="240" w:lineRule="auto"/>
                    <w:ind w:left="-48" w:right="-48"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0.76</w:t>
                  </w:r>
                </w:p>
              </w:tc>
            </w:tr>
          </w:tbl>
          <w:p>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kern w:val="0"/>
                <w:sz w:val="24"/>
                <w:highlight w:val="none"/>
              </w:rPr>
              <w:t>本项目所在区域多年平均风速为</w:t>
            </w:r>
            <w:r>
              <w:rPr>
                <w:rFonts w:hint="default" w:ascii="Times New Roman" w:hAnsi="Times New Roman" w:eastAsia="宋体" w:cs="Times New Roman"/>
                <w:color w:val="auto"/>
                <w:kern w:val="0"/>
                <w:sz w:val="24"/>
                <w:highlight w:val="none"/>
                <w:lang w:val="en-US" w:eastAsia="zh-CN"/>
              </w:rPr>
              <w:t>2.</w:t>
            </w:r>
            <w:r>
              <w:rPr>
                <w:rFonts w:hint="eastAsia" w:eastAsia="宋体" w:cs="Times New Roman"/>
                <w:color w:val="auto"/>
                <w:kern w:val="0"/>
                <w:sz w:val="24"/>
                <w:highlight w:val="none"/>
                <w:lang w:val="en-US" w:eastAsia="zh-CN"/>
              </w:rPr>
              <w:t>6</w:t>
            </w:r>
            <w:r>
              <w:rPr>
                <w:rFonts w:hint="default" w:ascii="Times New Roman" w:hAnsi="Times New Roman" w:eastAsia="宋体" w:cs="Times New Roman"/>
                <w:color w:val="auto"/>
                <w:kern w:val="0"/>
                <w:sz w:val="24"/>
                <w:highlight w:val="none"/>
              </w:rPr>
              <w:t>m/s</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sz w:val="24"/>
                <w:szCs w:val="24"/>
                <w:highlight w:val="none"/>
              </w:rPr>
              <w:t>卫生防护距离计算结果详见下表。</w:t>
            </w:r>
          </w:p>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eastAsia" w:cs="Times New Roman"/>
                <w:b/>
                <w:bCs/>
                <w:color w:val="auto"/>
                <w:highlight w:val="none"/>
                <w:lang w:val="en-US" w:eastAsia="zh-CN"/>
              </w:rPr>
              <w:t>5</w:t>
            </w:r>
            <w:r>
              <w:rPr>
                <w:rFonts w:hint="default" w:ascii="Times New Roman" w:hAnsi="Times New Roman" w:eastAsia="宋体" w:cs="Times New Roman"/>
                <w:b/>
                <w:bCs/>
                <w:color w:val="auto"/>
                <w:highlight w:val="none"/>
              </w:rPr>
              <w:t>卫生防护距离计算参数及计算结果表</w:t>
            </w:r>
          </w:p>
          <w:tbl>
            <w:tblPr>
              <w:tblStyle w:val="57"/>
              <w:tblW w:w="11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188"/>
              <w:gridCol w:w="1174"/>
              <w:gridCol w:w="1143"/>
              <w:gridCol w:w="1004"/>
              <w:gridCol w:w="1038"/>
              <w:gridCol w:w="1535"/>
              <w:gridCol w:w="1407"/>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382"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FF0000"/>
                      <w:highlight w:val="none"/>
                    </w:rPr>
                  </w:pPr>
                  <w:r>
                    <w:rPr>
                      <w:rFonts w:hint="default" w:ascii="Times New Roman" w:hAnsi="Times New Roman" w:eastAsia="宋体" w:cs="Times New Roman"/>
                      <w:bCs/>
                      <w:color w:val="FF0000"/>
                      <w:highlight w:val="none"/>
                    </w:rPr>
                    <w:t>污染源位置</w:t>
                  </w:r>
                </w:p>
              </w:tc>
              <w:tc>
                <w:tcPr>
                  <w:tcW w:w="218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FF0000"/>
                      <w:highlight w:val="none"/>
                    </w:rPr>
                  </w:pPr>
                  <w:r>
                    <w:rPr>
                      <w:rFonts w:hint="default" w:ascii="Times New Roman" w:hAnsi="Times New Roman" w:eastAsia="宋体" w:cs="Times New Roman"/>
                      <w:bCs/>
                      <w:color w:val="FF0000"/>
                      <w:highlight w:val="none"/>
                    </w:rPr>
                    <w:t>污染物名称</w:t>
                  </w:r>
                </w:p>
              </w:tc>
              <w:tc>
                <w:tcPr>
                  <w:tcW w:w="1174"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FF0000"/>
                      <w:highlight w:val="none"/>
                    </w:rPr>
                  </w:pPr>
                  <w:r>
                    <w:rPr>
                      <w:rFonts w:hint="default" w:ascii="Times New Roman" w:hAnsi="Times New Roman" w:eastAsia="宋体" w:cs="Times New Roman"/>
                      <w:bCs/>
                      <w:color w:val="FF0000"/>
                      <w:highlight w:val="none"/>
                    </w:rPr>
                    <w:t>排放速率（kg/h）</w:t>
                  </w:r>
                </w:p>
              </w:tc>
              <w:tc>
                <w:tcPr>
                  <w:tcW w:w="1143"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FF0000"/>
                      <w:highlight w:val="none"/>
                      <w:lang w:eastAsia="zh-CN"/>
                    </w:rPr>
                  </w:pPr>
                  <w:r>
                    <w:rPr>
                      <w:rFonts w:hint="default" w:ascii="Times New Roman" w:hAnsi="Times New Roman" w:eastAsia="宋体" w:cs="Times New Roman"/>
                      <w:bCs/>
                      <w:color w:val="FF0000"/>
                      <w:highlight w:val="none"/>
                    </w:rPr>
                    <w:t>面源</w:t>
                  </w:r>
                  <w:r>
                    <w:rPr>
                      <w:rFonts w:hint="default" w:ascii="Times New Roman" w:hAnsi="Times New Roman" w:eastAsia="宋体" w:cs="Times New Roman"/>
                      <w:bCs/>
                      <w:color w:val="FF0000"/>
                      <w:highlight w:val="none"/>
                      <w:lang w:val="en-US" w:eastAsia="zh-CN"/>
                    </w:rPr>
                    <w:t>长度</w:t>
                  </w:r>
                  <w:r>
                    <w:rPr>
                      <w:rFonts w:hint="default" w:ascii="Times New Roman" w:hAnsi="Times New Roman" w:eastAsia="宋体" w:cs="Times New Roman"/>
                      <w:bCs/>
                      <w:color w:val="FF0000"/>
                      <w:highlight w:val="none"/>
                    </w:rPr>
                    <w:t>（m）</w:t>
                  </w:r>
                </w:p>
              </w:tc>
              <w:tc>
                <w:tcPr>
                  <w:tcW w:w="1004"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FF0000"/>
                      <w:highlight w:val="none"/>
                      <w:lang w:val="en-US" w:eastAsia="zh-CN"/>
                    </w:rPr>
                  </w:pPr>
                  <w:r>
                    <w:rPr>
                      <w:rFonts w:hint="default" w:ascii="Times New Roman" w:hAnsi="Times New Roman" w:eastAsia="宋体" w:cs="Times New Roman"/>
                      <w:bCs/>
                      <w:color w:val="FF0000"/>
                      <w:highlight w:val="none"/>
                      <w:lang w:val="en-US" w:eastAsia="zh-CN"/>
                    </w:rPr>
                    <w:t>面源宽度</w:t>
                  </w:r>
                  <w:r>
                    <w:rPr>
                      <w:rFonts w:hint="default" w:ascii="Times New Roman" w:hAnsi="Times New Roman" w:eastAsia="宋体" w:cs="Times New Roman"/>
                      <w:bCs/>
                      <w:color w:val="FF0000"/>
                      <w:highlight w:val="none"/>
                    </w:rPr>
                    <w:t>（m）</w:t>
                  </w:r>
                </w:p>
              </w:tc>
              <w:tc>
                <w:tcPr>
                  <w:tcW w:w="103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FF0000"/>
                      <w:highlight w:val="none"/>
                    </w:rPr>
                  </w:pPr>
                  <w:r>
                    <w:rPr>
                      <w:rFonts w:hint="default" w:ascii="Times New Roman" w:hAnsi="Times New Roman" w:eastAsia="宋体" w:cs="Times New Roman"/>
                      <w:bCs/>
                      <w:color w:val="FF0000"/>
                      <w:highlight w:val="none"/>
                    </w:rPr>
                    <w:t>面源高度（m）</w:t>
                  </w:r>
                </w:p>
              </w:tc>
              <w:tc>
                <w:tcPr>
                  <w:tcW w:w="1535"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FF0000"/>
                      <w:highlight w:val="none"/>
                    </w:rPr>
                  </w:pPr>
                  <w:r>
                    <w:rPr>
                      <w:rFonts w:hint="default" w:ascii="Times New Roman" w:hAnsi="Times New Roman" w:eastAsia="宋体" w:cs="Times New Roman"/>
                      <w:bCs/>
                      <w:color w:val="FF0000"/>
                      <w:highlight w:val="none"/>
                    </w:rPr>
                    <w:t>卫生防护距离计算值（m）</w:t>
                  </w:r>
                </w:p>
              </w:tc>
              <w:tc>
                <w:tcPr>
                  <w:tcW w:w="1407"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FF0000"/>
                      <w:highlight w:val="none"/>
                    </w:rPr>
                  </w:pPr>
                  <w:r>
                    <w:rPr>
                      <w:rFonts w:hint="default" w:ascii="Times New Roman" w:hAnsi="Times New Roman" w:eastAsia="宋体" w:cs="Times New Roman"/>
                      <w:bCs/>
                      <w:color w:val="FF0000"/>
                      <w:highlight w:val="none"/>
                    </w:rPr>
                    <w:t>设定卫生防护距离（m）</w:t>
                  </w:r>
                </w:p>
              </w:tc>
              <w:tc>
                <w:tcPr>
                  <w:tcW w:w="964"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FF0000"/>
                      <w:highlight w:val="none"/>
                    </w:rPr>
                  </w:pPr>
                  <w:r>
                    <w:rPr>
                      <w:rFonts w:hint="default" w:ascii="Times New Roman" w:hAnsi="Times New Roman" w:eastAsia="宋体" w:cs="Times New Roman"/>
                      <w:bCs/>
                      <w:color w:val="FF0000"/>
                      <w:highlight w:val="none"/>
                    </w:rPr>
                    <w:t>最终提级（m）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382" w:type="dxa"/>
                  <w:tcBorders>
                    <w:tl2br w:val="nil"/>
                    <w:tr2bl w:val="nil"/>
                  </w:tcBorders>
                  <w:noWrap w:val="0"/>
                  <w:vAlign w:val="top"/>
                </w:tcPr>
                <w:p>
                  <w:pPr>
                    <w:pStyle w:val="176"/>
                    <w:rPr>
                      <w:rFonts w:hint="default" w:ascii="Times New Roman" w:hAnsi="Times New Roman" w:eastAsia="宋体" w:cs="Times New Roman"/>
                      <w:color w:val="FF0000"/>
                      <w:szCs w:val="21"/>
                      <w:highlight w:val="none"/>
                      <w:lang w:val="en-US"/>
                    </w:rPr>
                  </w:pPr>
                  <w:r>
                    <w:rPr>
                      <w:rFonts w:hint="eastAsia" w:eastAsia="宋体" w:cs="Times New Roman"/>
                      <w:color w:val="FF0000"/>
                      <w:sz w:val="21"/>
                      <w:szCs w:val="21"/>
                      <w:highlight w:val="none"/>
                      <w:lang w:val="en-US" w:eastAsia="zh-CN"/>
                    </w:rPr>
                    <w:t>生产厂房</w:t>
                  </w:r>
                </w:p>
              </w:tc>
              <w:tc>
                <w:tcPr>
                  <w:tcW w:w="21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zCs w:val="21"/>
                      <w:highlight w:val="none"/>
                      <w:lang w:val="en-US" w:eastAsia="zh-CN"/>
                    </w:rPr>
                  </w:pPr>
                  <w:r>
                    <w:rPr>
                      <w:rFonts w:hint="eastAsia" w:cs="Times New Roman"/>
                      <w:bCs/>
                      <w:color w:val="FF0000"/>
                      <w:szCs w:val="21"/>
                      <w:lang w:val="en-US" w:eastAsia="zh-CN"/>
                    </w:rPr>
                    <w:t>TSP</w:t>
                  </w:r>
                </w:p>
              </w:tc>
              <w:tc>
                <w:tcPr>
                  <w:tcW w:w="1174" w:type="dxa"/>
                  <w:tcBorders>
                    <w:tl2br w:val="nil"/>
                    <w:tr2bl w:val="nil"/>
                  </w:tcBorders>
                  <w:noWrap w:val="0"/>
                  <w:vAlign w:val="center"/>
                </w:tcPr>
                <w:p>
                  <w:pPr>
                    <w:widowControl/>
                    <w:snapToGrid w:val="0"/>
                    <w:spacing w:line="240" w:lineRule="atLeast"/>
                    <w:jc w:val="center"/>
                    <w:textAlignment w:val="center"/>
                    <w:rPr>
                      <w:rFonts w:hint="default" w:ascii="Times New Roman" w:hAnsi="Times New Roman" w:eastAsia="宋体" w:cs="Times New Roman"/>
                      <w:color w:val="FF0000"/>
                      <w:szCs w:val="21"/>
                      <w:highlight w:val="none"/>
                      <w:lang w:val="en-US" w:eastAsia="zh-CN"/>
                    </w:rPr>
                  </w:pPr>
                  <w:r>
                    <w:rPr>
                      <w:rFonts w:hint="eastAsia" w:ascii="Times New Roman" w:hAnsi="Times New Roman" w:eastAsia="宋体" w:cs="Times New Roman"/>
                      <w:color w:val="FF0000"/>
                      <w:szCs w:val="21"/>
                      <w:highlight w:val="none"/>
                      <w:lang w:val="en-US" w:eastAsia="zh-CN"/>
                    </w:rPr>
                    <w:t>0.6122</w:t>
                  </w:r>
                </w:p>
              </w:tc>
              <w:tc>
                <w:tcPr>
                  <w:tcW w:w="114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highlight w:val="none"/>
                      <w:lang w:val="en-US" w:eastAsia="zh-CN"/>
                    </w:rPr>
                  </w:pPr>
                  <w:r>
                    <w:rPr>
                      <w:rFonts w:hint="eastAsia" w:cs="Times New Roman"/>
                      <w:color w:val="FF0000"/>
                      <w:highlight w:val="none"/>
                      <w:lang w:val="en-US" w:eastAsia="zh-CN"/>
                    </w:rPr>
                    <w:t>120</w:t>
                  </w:r>
                </w:p>
              </w:tc>
              <w:tc>
                <w:tcPr>
                  <w:tcW w:w="100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kern w:val="0"/>
                      <w:szCs w:val="21"/>
                      <w:highlight w:val="none"/>
                      <w:lang w:val="en-US" w:eastAsia="zh-CN"/>
                    </w:rPr>
                  </w:pPr>
                  <w:r>
                    <w:rPr>
                      <w:rFonts w:hint="eastAsia" w:cs="Times New Roman"/>
                      <w:color w:val="FF0000"/>
                      <w:kern w:val="0"/>
                      <w:szCs w:val="21"/>
                      <w:highlight w:val="none"/>
                      <w:lang w:val="en-US" w:eastAsia="zh-CN"/>
                    </w:rPr>
                    <w:t>44</w:t>
                  </w:r>
                </w:p>
              </w:tc>
              <w:tc>
                <w:tcPr>
                  <w:tcW w:w="103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lang w:val="en-US" w:eastAsia="zh-CN"/>
                    </w:rPr>
                  </w:pPr>
                  <w:r>
                    <w:rPr>
                      <w:rFonts w:hint="eastAsia" w:cs="Times New Roman"/>
                      <w:color w:val="FF0000"/>
                      <w:lang w:val="en-US" w:eastAsia="zh-CN"/>
                    </w:rPr>
                    <w:t>8.5</w:t>
                  </w:r>
                </w:p>
              </w:tc>
              <w:tc>
                <w:tcPr>
                  <w:tcW w:w="153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lang w:val="en-US" w:eastAsia="zh-CN"/>
                    </w:rPr>
                  </w:pPr>
                  <w:r>
                    <w:rPr>
                      <w:rFonts w:hint="eastAsia" w:cs="Times New Roman"/>
                      <w:color w:val="FF0000"/>
                      <w:lang w:val="en-US" w:eastAsia="zh-CN"/>
                    </w:rPr>
                    <w:t>26</w:t>
                  </w:r>
                </w:p>
              </w:tc>
              <w:tc>
                <w:tcPr>
                  <w:tcW w:w="140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lang w:val="en-US" w:eastAsia="zh-CN"/>
                    </w:rPr>
                    <w:t>50</w:t>
                  </w:r>
                </w:p>
              </w:tc>
              <w:tc>
                <w:tcPr>
                  <w:tcW w:w="96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50</w:t>
                  </w:r>
                </w:p>
              </w:tc>
            </w:tr>
          </w:tbl>
          <w:p>
            <w:pPr>
              <w:pStyle w:val="24"/>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FF0000"/>
                <w:kern w:val="2"/>
                <w:sz w:val="24"/>
                <w:szCs w:val="40"/>
                <w:highlight w:val="none"/>
                <w:lang w:val="en-US" w:eastAsia="zh-CN"/>
              </w:rPr>
            </w:pPr>
            <w:r>
              <w:drawing>
                <wp:inline distT="0" distB="0" distL="114300" distR="114300">
                  <wp:extent cx="6681470" cy="3289935"/>
                  <wp:effectExtent l="0" t="0" r="5080" b="571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5"/>
                          <a:stretch>
                            <a:fillRect/>
                          </a:stretch>
                        </pic:blipFill>
                        <pic:spPr>
                          <a:xfrm>
                            <a:off x="0" y="0"/>
                            <a:ext cx="6681470" cy="3289935"/>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图4-</w:t>
            </w:r>
            <w:r>
              <w:rPr>
                <w:rFonts w:hint="eastAsia" w:ascii="Times New Roman" w:hAnsi="Times New Roman" w:eastAsia="宋体" w:cs="Times New Roman"/>
                <w:b/>
                <w:color w:val="auto"/>
                <w:highlight w:val="none"/>
                <w:lang w:val="en-US" w:eastAsia="zh-CN"/>
              </w:rPr>
              <w:t>1</w:t>
            </w:r>
            <w:r>
              <w:rPr>
                <w:rFonts w:hint="default" w:ascii="Times New Roman" w:hAnsi="Times New Roman" w:eastAsia="宋体" w:cs="Times New Roman"/>
                <w:b/>
                <w:color w:val="auto"/>
                <w:highlight w:val="none"/>
              </w:rPr>
              <w:t>卫生防护距离计算结果图</w:t>
            </w:r>
          </w:p>
          <w:p>
            <w:pPr>
              <w:pStyle w:val="2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color w:val="auto"/>
                <w:kern w:val="0"/>
                <w:sz w:val="24"/>
                <w:szCs w:val="24"/>
                <w:highlight w:val="none"/>
                <w:lang w:val="en-US" w:eastAsia="zh-CN" w:bidi="ar-SA"/>
              </w:rPr>
              <w:t>根据卫生防护距离的计算结果，本项目需以</w:t>
            </w:r>
            <w:r>
              <w:rPr>
                <w:rFonts w:hint="eastAsia" w:cs="Times New Roman"/>
                <w:color w:val="auto"/>
                <w:kern w:val="0"/>
                <w:sz w:val="24"/>
                <w:szCs w:val="24"/>
                <w:highlight w:val="none"/>
                <w:lang w:val="en-US" w:eastAsia="zh-CN" w:bidi="ar-SA"/>
              </w:rPr>
              <w:t>生产厂房</w:t>
            </w:r>
            <w:r>
              <w:rPr>
                <w:rFonts w:hint="default" w:ascii="Times New Roman" w:hAnsi="Times New Roman" w:eastAsia="宋体" w:cs="Times New Roman"/>
                <w:color w:val="auto"/>
                <w:kern w:val="0"/>
                <w:sz w:val="24"/>
                <w:szCs w:val="24"/>
                <w:highlight w:val="none"/>
                <w:lang w:val="en-US" w:eastAsia="zh-CN" w:bidi="ar-SA"/>
              </w:rPr>
              <w:t>为边界设置</w:t>
            </w:r>
            <w:r>
              <w:rPr>
                <w:rFonts w:hint="eastAsia" w:ascii="Times New Roman" w:hAnsi="Times New Roman" w:eastAsia="宋体" w:cs="Times New Roman"/>
                <w:color w:val="auto"/>
                <w:kern w:val="0"/>
                <w:sz w:val="24"/>
                <w:szCs w:val="24"/>
                <w:highlight w:val="none"/>
                <w:lang w:val="en-US" w:eastAsia="zh-CN" w:bidi="ar-SA"/>
              </w:rPr>
              <w:t>50</w:t>
            </w:r>
            <w:r>
              <w:rPr>
                <w:rFonts w:hint="default" w:ascii="Times New Roman" w:hAnsi="Times New Roman" w:eastAsia="宋体" w:cs="Times New Roman"/>
                <w:color w:val="auto"/>
                <w:kern w:val="0"/>
                <w:sz w:val="24"/>
                <w:szCs w:val="24"/>
                <w:highlight w:val="none"/>
                <w:lang w:val="en-US" w:eastAsia="zh-CN" w:bidi="ar-SA"/>
              </w:rPr>
              <w:t>m卫生防护距离</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经现场踏勘和卫星地图测量，卫生防护距离内无居民集中区、医院、学校及食品、药品企业等环境敏感目标，距离最近的敏感点为</w:t>
            </w:r>
            <w:r>
              <w:rPr>
                <w:rFonts w:hint="eastAsia" w:ascii="Times New Roman" w:hAnsi="Times New Roman" w:eastAsia="宋体" w:cs="Times New Roman"/>
                <w:color w:val="auto"/>
                <w:kern w:val="0"/>
                <w:sz w:val="24"/>
                <w:szCs w:val="24"/>
                <w:highlight w:val="none"/>
                <w:lang w:val="en-US" w:eastAsia="zh-CN" w:bidi="ar-SA"/>
              </w:rPr>
              <w:t>东</w:t>
            </w:r>
            <w:r>
              <w:rPr>
                <w:rFonts w:hint="eastAsia" w:cs="Times New Roman"/>
                <w:color w:val="auto"/>
                <w:kern w:val="0"/>
                <w:sz w:val="24"/>
                <w:szCs w:val="24"/>
                <w:highlight w:val="none"/>
                <w:lang w:val="en-US" w:eastAsia="zh-CN" w:bidi="ar-SA"/>
              </w:rPr>
              <w:t>北侧70m</w:t>
            </w:r>
            <w:r>
              <w:rPr>
                <w:rFonts w:hint="default" w:ascii="Times New Roman" w:hAnsi="Times New Roman" w:eastAsia="宋体" w:cs="Times New Roman"/>
                <w:color w:val="auto"/>
                <w:kern w:val="0"/>
                <w:sz w:val="24"/>
                <w:szCs w:val="24"/>
                <w:highlight w:val="none"/>
                <w:lang w:val="en-US" w:eastAsia="zh-CN" w:bidi="ar-SA"/>
              </w:rPr>
              <w:t>的</w:t>
            </w:r>
            <w:r>
              <w:rPr>
                <w:rFonts w:hint="eastAsia" w:cs="Times New Roman"/>
                <w:color w:val="auto"/>
                <w:kern w:val="0"/>
                <w:sz w:val="24"/>
                <w:szCs w:val="24"/>
                <w:highlight w:val="none"/>
                <w:lang w:val="en-US" w:eastAsia="zh-CN" w:bidi="ar-SA"/>
              </w:rPr>
              <w:t>无名住宅区</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约</w:t>
            </w:r>
            <w:r>
              <w:rPr>
                <w:rFonts w:hint="eastAsia" w:cs="Times New Roman"/>
                <w:color w:val="auto"/>
                <w:kern w:val="0"/>
                <w:sz w:val="24"/>
                <w:szCs w:val="24"/>
                <w:highlight w:val="none"/>
                <w:lang w:val="en-US" w:eastAsia="zh-CN" w:bidi="ar-SA"/>
              </w:rPr>
              <w:t>15</w:t>
            </w:r>
            <w:r>
              <w:rPr>
                <w:rFonts w:hint="eastAsia" w:ascii="Times New Roman" w:hAnsi="Times New Roman" w:eastAsia="宋体" w:cs="Times New Roman"/>
                <w:color w:val="auto"/>
                <w:kern w:val="0"/>
                <w:sz w:val="24"/>
                <w:szCs w:val="24"/>
                <w:highlight w:val="none"/>
                <w:lang w:val="en-US" w:eastAsia="zh-CN" w:bidi="ar-SA"/>
              </w:rPr>
              <w:t>人</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。项目东北侧无名住宅区</w:t>
            </w:r>
            <w:r>
              <w:rPr>
                <w:rFonts w:hint="default" w:ascii="Times New Roman" w:hAnsi="Times New Roman" w:eastAsia="宋体" w:cs="Times New Roman"/>
                <w:color w:val="auto"/>
                <w:kern w:val="0"/>
                <w:sz w:val="24"/>
                <w:szCs w:val="24"/>
                <w:highlight w:val="none"/>
                <w:lang w:val="en-US" w:eastAsia="zh-CN" w:bidi="ar-SA"/>
              </w:rPr>
              <w:t>不在</w:t>
            </w:r>
            <w:r>
              <w:rPr>
                <w:rFonts w:hint="eastAsia" w:ascii="Times New Roman" w:hAnsi="Times New Roman" w:eastAsia="宋体" w:cs="Times New Roman"/>
                <w:color w:val="auto"/>
                <w:kern w:val="0"/>
                <w:sz w:val="24"/>
                <w:szCs w:val="24"/>
                <w:highlight w:val="none"/>
                <w:lang w:val="en-US" w:eastAsia="zh-CN" w:bidi="ar-SA"/>
              </w:rPr>
              <w:t>50</w:t>
            </w:r>
            <w:r>
              <w:rPr>
                <w:rFonts w:hint="default" w:ascii="Times New Roman" w:hAnsi="Times New Roman" w:eastAsia="宋体" w:cs="Times New Roman"/>
                <w:color w:val="auto"/>
                <w:kern w:val="0"/>
                <w:sz w:val="24"/>
                <w:szCs w:val="24"/>
                <w:highlight w:val="none"/>
                <w:lang w:val="en-US" w:eastAsia="zh-CN" w:bidi="ar-SA"/>
              </w:rPr>
              <w:t>m卫生防护距离范围内，故项目建设满足卫生防护距离的要求。同时要求本项目卫生防护距离范围内不得规划和建设居民住宅、医院、学校等敏感项目。</w:t>
            </w:r>
          </w:p>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lang w:val="en-US" w:eastAsia="zh-CN"/>
              </w:rPr>
              <w:t>6</w:t>
            </w:r>
            <w:r>
              <w:rPr>
                <w:rFonts w:hint="default" w:ascii="Times New Roman" w:hAnsi="Times New Roman" w:eastAsia="宋体" w:cs="Times New Roman"/>
                <w:b/>
                <w:color w:val="auto"/>
                <w:kern w:val="0"/>
                <w:sz w:val="24"/>
                <w:szCs w:val="24"/>
              </w:rPr>
              <w:t>、废气监测要求</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rPr>
              <w:t>根据</w:t>
            </w:r>
            <w:r>
              <w:rPr>
                <w:rFonts w:hint="eastAsia" w:ascii="Times New Roman" w:hAnsi="Times New Roman" w:cs="Times New Roman"/>
                <w:color w:val="auto"/>
                <w:lang w:eastAsia="zh-CN"/>
              </w:rPr>
              <w:t>《排污单位自行监测技术指南</w:t>
            </w:r>
            <w:r>
              <w:rPr>
                <w:rFonts w:hint="eastAsia" w:ascii="Times New Roman" w:hAnsi="Times New Roman" w:cs="Times New Roman"/>
                <w:color w:val="auto"/>
                <w:lang w:val="en-US" w:eastAsia="zh-CN"/>
              </w:rPr>
              <w:t xml:space="preserve"> 总则</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HJ819-2017</w:t>
            </w:r>
            <w:r>
              <w:rPr>
                <w:rFonts w:hint="eastAsia" w:ascii="Times New Roman" w:hAnsi="Times New Roman" w:cs="Times New Roman"/>
                <w:color w:val="auto"/>
                <w:lang w:eastAsia="zh-CN"/>
              </w:rPr>
              <w:t>）、《排污许可证申请与核发技术规范</w:t>
            </w:r>
            <w:r>
              <w:rPr>
                <w:rFonts w:hint="eastAsia" w:ascii="Times New Roman" w:hAnsi="Times New Roman" w:cs="Times New Roman"/>
                <w:color w:val="auto"/>
                <w:lang w:val="en-US" w:eastAsia="zh-CN"/>
              </w:rPr>
              <w:t xml:space="preserve"> 总则</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HJ942-2018</w:t>
            </w:r>
            <w:r>
              <w:rPr>
                <w:rFonts w:hint="eastAsia" w:ascii="Times New Roman" w:hAnsi="Times New Roman" w:cs="Times New Roman"/>
                <w:color w:val="auto"/>
                <w:lang w:eastAsia="zh-CN"/>
              </w:rPr>
              <w:t>）及《排污许可证申请与核发技术规范</w:t>
            </w:r>
            <w:r>
              <w:rPr>
                <w:rFonts w:hint="eastAsia" w:ascii="Times New Roman" w:hAnsi="Times New Roman" w:cs="Times New Roman"/>
                <w:color w:val="auto"/>
                <w:lang w:val="en-US" w:eastAsia="zh-CN"/>
              </w:rPr>
              <w:t xml:space="preserve"> 石墨及其他废金属矿物制品制造</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HJ1119-2020</w:t>
            </w:r>
            <w:r>
              <w:rPr>
                <w:rFonts w:hint="eastAsia" w:ascii="Times New Roman" w:hAnsi="Times New Roman" w:cs="Times New Roman"/>
                <w:color w:val="auto"/>
                <w:lang w:eastAsia="zh-CN"/>
              </w:rPr>
              <w:t>）</w:t>
            </w:r>
            <w:r>
              <w:rPr>
                <w:rFonts w:hint="default" w:ascii="Times New Roman" w:hAnsi="Times New Roman" w:eastAsia="宋体" w:cs="Times New Roman"/>
                <w:color w:val="auto"/>
              </w:rPr>
              <w:t>得到项目废气监测计划如下：</w:t>
            </w:r>
          </w:p>
          <w:p>
            <w:pPr>
              <w:pStyle w:val="38"/>
              <w:widowControl w:val="0"/>
              <w:autoSpaceDE w:val="0"/>
              <w:spacing w:before="0" w:beforeAutospacing="0" w:after="0" w:afterAutospacing="0"/>
              <w:jc w:val="center"/>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sz w:val="21"/>
                <w:szCs w:val="21"/>
              </w:rPr>
              <w:t>表4-</w:t>
            </w:r>
            <w:r>
              <w:rPr>
                <w:rFonts w:hint="eastAsia" w:ascii="Times New Roman" w:hAnsi="Times New Roman" w:cs="Times New Roman"/>
                <w:b/>
                <w:bCs w:val="0"/>
                <w:color w:val="auto"/>
                <w:sz w:val="21"/>
                <w:szCs w:val="21"/>
                <w:lang w:val="en-US" w:eastAsia="zh-CN"/>
              </w:rPr>
              <w:t>6</w:t>
            </w:r>
            <w:r>
              <w:rPr>
                <w:rFonts w:hint="default" w:ascii="Times New Roman" w:hAnsi="Times New Roman" w:eastAsia="宋体" w:cs="Times New Roman"/>
                <w:b/>
                <w:bCs w:val="0"/>
                <w:color w:val="auto"/>
                <w:sz w:val="21"/>
                <w:szCs w:val="21"/>
              </w:rPr>
              <w:t>废气监测计划一览表</w:t>
            </w:r>
          </w:p>
          <w:tbl>
            <w:tblPr>
              <w:tblStyle w:val="57"/>
              <w:tblW w:w="11916"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709"/>
              <w:gridCol w:w="2624"/>
              <w:gridCol w:w="1556"/>
              <w:gridCol w:w="602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709" w:type="dxa"/>
                  <w:tcBorders>
                    <w:top w:val="single" w:color="auto" w:sz="4" w:space="0"/>
                    <w:left w:val="single" w:color="auto" w:sz="4" w:space="0"/>
                    <w:bottom w:val="single" w:color="000000" w:sz="4" w:space="0"/>
                    <w:right w:val="single" w:color="000000" w:sz="4" w:space="0"/>
                  </w:tcBorders>
                  <w:vAlign w:val="center"/>
                </w:tcPr>
                <w:p>
                  <w:pPr>
                    <w:widowControl/>
                    <w:autoSpaceDN w:val="0"/>
                    <w:adjustRightInd w:val="0"/>
                    <w:snapToGrid w:val="0"/>
                    <w:spacing w:before="48" w:beforeLines="20" w:after="48" w:afterLines="20"/>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kern w:val="0"/>
                    </w:rPr>
                    <w:t>监测点位</w:t>
                  </w:r>
                </w:p>
              </w:tc>
              <w:tc>
                <w:tcPr>
                  <w:tcW w:w="2624" w:type="dxa"/>
                  <w:tcBorders>
                    <w:top w:val="single" w:color="auto" w:sz="4" w:space="0"/>
                    <w:left w:val="nil"/>
                    <w:bottom w:val="single" w:color="000000" w:sz="4" w:space="0"/>
                    <w:right w:val="single" w:color="000000" w:sz="4" w:space="0"/>
                  </w:tcBorders>
                  <w:vAlign w:val="center"/>
                </w:tcPr>
                <w:p>
                  <w:pPr>
                    <w:widowControl/>
                    <w:autoSpaceDN w:val="0"/>
                    <w:adjustRightInd w:val="0"/>
                    <w:snapToGrid w:val="0"/>
                    <w:spacing w:before="48" w:beforeLines="20" w:after="48" w:afterLines="20"/>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kern w:val="0"/>
                    </w:rPr>
                    <w:t>监测指标</w:t>
                  </w:r>
                </w:p>
              </w:tc>
              <w:tc>
                <w:tcPr>
                  <w:tcW w:w="1556" w:type="dxa"/>
                  <w:tcBorders>
                    <w:top w:val="single" w:color="auto" w:sz="4" w:space="0"/>
                    <w:left w:val="nil"/>
                    <w:bottom w:val="single" w:color="000000" w:sz="4" w:space="0"/>
                    <w:right w:val="single" w:color="000000" w:sz="4" w:space="0"/>
                  </w:tcBorders>
                  <w:vAlign w:val="center"/>
                </w:tcPr>
                <w:p>
                  <w:pPr>
                    <w:widowControl/>
                    <w:autoSpaceDN w:val="0"/>
                    <w:adjustRightInd w:val="0"/>
                    <w:snapToGrid w:val="0"/>
                    <w:spacing w:before="48" w:beforeLines="20" w:after="48" w:afterLines="20"/>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kern w:val="0"/>
                    </w:rPr>
                    <w:t>监测频次</w:t>
                  </w:r>
                </w:p>
              </w:tc>
              <w:tc>
                <w:tcPr>
                  <w:tcW w:w="6027" w:type="dxa"/>
                  <w:tcBorders>
                    <w:top w:val="single" w:color="auto" w:sz="4" w:space="0"/>
                    <w:left w:val="nil"/>
                    <w:bottom w:val="single" w:color="000000" w:sz="4" w:space="0"/>
                    <w:right w:val="single" w:color="auto" w:sz="4" w:space="0"/>
                  </w:tcBorders>
                  <w:vAlign w:val="center"/>
                </w:tcPr>
                <w:p>
                  <w:pPr>
                    <w:widowControl/>
                    <w:autoSpaceDN w:val="0"/>
                    <w:adjustRightInd w:val="0"/>
                    <w:snapToGrid w:val="0"/>
                    <w:spacing w:before="48" w:beforeLines="20" w:after="48" w:afterLines="20"/>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kern w:val="0"/>
                    </w:rPr>
                    <w:t>执行排放标准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709" w:type="dxa"/>
                  <w:tcBorders>
                    <w:top w:val="single" w:color="000000" w:sz="4" w:space="0"/>
                    <w:left w:val="single" w:color="auto" w:sz="4" w:space="0"/>
                    <w:right w:val="single" w:color="000000" w:sz="4" w:space="0"/>
                  </w:tcBorders>
                  <w:vAlign w:val="center"/>
                </w:tcPr>
                <w:p>
                  <w:pPr>
                    <w:widowControl/>
                    <w:autoSpaceDN w:val="0"/>
                    <w:adjustRightInd w:val="0"/>
                    <w:snapToGrid w:val="0"/>
                    <w:spacing w:before="48" w:beforeLines="20" w:after="48" w:afterLines="20"/>
                    <w:jc w:val="center"/>
                    <w:textAlignment w:val="center"/>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eastAsia="宋体" w:cs="Times New Roman"/>
                      <w:color w:val="auto"/>
                      <w:kern w:val="0"/>
                      <w:lang w:val="en-US" w:eastAsia="zh-CN"/>
                    </w:rPr>
                    <w:t>DA00</w:t>
                  </w:r>
                  <w:r>
                    <w:rPr>
                      <w:rFonts w:hint="eastAsia" w:ascii="Times New Roman" w:hAnsi="Times New Roman" w:eastAsia="宋体" w:cs="Times New Roman"/>
                      <w:color w:val="auto"/>
                      <w:kern w:val="0"/>
                      <w:lang w:val="en-US" w:eastAsia="zh-CN"/>
                    </w:rPr>
                    <w:t>1</w:t>
                  </w:r>
                </w:p>
              </w:tc>
              <w:tc>
                <w:tcPr>
                  <w:tcW w:w="2624" w:type="dxa"/>
                  <w:tcBorders>
                    <w:top w:val="single" w:color="000000" w:sz="4" w:space="0"/>
                    <w:left w:val="nil"/>
                    <w:right w:val="single" w:color="000000" w:sz="4" w:space="0"/>
                  </w:tcBorders>
                  <w:vAlign w:val="center"/>
                </w:tcPr>
                <w:p>
                  <w:pPr>
                    <w:widowControl/>
                    <w:autoSpaceDN w:val="0"/>
                    <w:adjustRightInd w:val="0"/>
                    <w:snapToGrid w:val="0"/>
                    <w:spacing w:before="48" w:beforeLines="20" w:after="48" w:afterLines="20"/>
                    <w:jc w:val="center"/>
                    <w:textAlignment w:val="center"/>
                    <w:rPr>
                      <w:rFonts w:hint="default" w:ascii="Times New Roman" w:hAnsi="Times New Roman" w:eastAsia="宋体" w:cs="Times New Roman"/>
                      <w:color w:val="auto"/>
                      <w:kern w:val="0"/>
                      <w:lang w:eastAsia="zh-CN"/>
                    </w:rPr>
                  </w:pPr>
                  <w:r>
                    <w:rPr>
                      <w:rFonts w:hint="eastAsia" w:ascii="Times New Roman" w:hAnsi="Times New Roman" w:eastAsia="宋体" w:cs="Times New Roman"/>
                      <w:color w:val="auto"/>
                      <w:kern w:val="0"/>
                      <w:lang w:val="en-US" w:eastAsia="zh-CN"/>
                    </w:rPr>
                    <w:t>颗粒物、氟化物</w:t>
                  </w:r>
                </w:p>
              </w:tc>
              <w:tc>
                <w:tcPr>
                  <w:tcW w:w="1556" w:type="dxa"/>
                  <w:tcBorders>
                    <w:top w:val="single" w:color="000000" w:sz="4" w:space="0"/>
                    <w:left w:val="nil"/>
                    <w:right w:val="single" w:color="000000" w:sz="4" w:space="0"/>
                  </w:tcBorders>
                  <w:vAlign w:val="center"/>
                </w:tcPr>
                <w:p>
                  <w:pPr>
                    <w:widowControl/>
                    <w:autoSpaceDN w:val="0"/>
                    <w:adjustRightInd w:val="0"/>
                    <w:snapToGrid w:val="0"/>
                    <w:spacing w:before="48" w:beforeLines="20" w:after="48" w:afterLines="20"/>
                    <w:jc w:val="center"/>
                    <w:textAlignment w:val="center"/>
                    <w:rPr>
                      <w:rFonts w:hint="eastAsia" w:ascii="Times New Roman" w:hAnsi="Times New Roman" w:eastAsia="宋体" w:cs="Times New Roman"/>
                      <w:color w:val="FF0000"/>
                      <w:kern w:val="0"/>
                      <w:lang w:val="en-US" w:eastAsia="zh-CN"/>
                    </w:rPr>
                  </w:pPr>
                  <w:r>
                    <w:rPr>
                      <w:rFonts w:hint="default" w:ascii="Times New Roman" w:hAnsi="Times New Roman" w:eastAsia="宋体" w:cs="Times New Roman"/>
                      <w:color w:val="FF0000"/>
                      <w:kern w:val="0"/>
                    </w:rPr>
                    <w:t>1次</w:t>
                  </w:r>
                  <w:r>
                    <w:rPr>
                      <w:rFonts w:hint="eastAsia" w:ascii="Times New Roman" w:hAnsi="Times New Roman" w:eastAsia="宋体" w:cs="Times New Roman"/>
                      <w:color w:val="FF0000"/>
                      <w:kern w:val="0"/>
                      <w:lang w:val="en-US" w:eastAsia="zh-CN"/>
                    </w:rPr>
                    <w:t>/年</w:t>
                  </w:r>
                </w:p>
              </w:tc>
              <w:tc>
                <w:tcPr>
                  <w:tcW w:w="6027" w:type="dxa"/>
                  <w:tcBorders>
                    <w:top w:val="single" w:color="000000" w:sz="4" w:space="0"/>
                    <w:left w:val="nil"/>
                    <w:right w:val="single" w:color="auto" w:sz="4" w:space="0"/>
                  </w:tcBorders>
                  <w:vAlign w:val="center"/>
                </w:tcPr>
                <w:p>
                  <w:pPr>
                    <w:widowControl/>
                    <w:autoSpaceDN w:val="0"/>
                    <w:adjustRightInd w:val="0"/>
                    <w:snapToGrid w:val="0"/>
                    <w:spacing w:before="48" w:beforeLines="20" w:after="48" w:afterLines="2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highlight w:val="none"/>
                      <w:lang w:val="en-US" w:eastAsia="zh-CN"/>
                    </w:rPr>
                    <w:t>《大气污染物综合排放标准》（GB16297-1996）表2中颗粒物及氟化物（其他）排放监控浓度限值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1709" w:type="dxa"/>
                  <w:tcBorders>
                    <w:top w:val="single" w:color="000000" w:sz="4" w:space="0"/>
                    <w:left w:val="single" w:color="auto" w:sz="4" w:space="0"/>
                    <w:right w:val="single" w:color="000000" w:sz="4" w:space="0"/>
                  </w:tcBorders>
                  <w:vAlign w:val="center"/>
                </w:tcPr>
                <w:p>
                  <w:pPr>
                    <w:widowControl/>
                    <w:autoSpaceDN w:val="0"/>
                    <w:adjustRightInd w:val="0"/>
                    <w:snapToGrid w:val="0"/>
                    <w:spacing w:before="48" w:beforeLines="20" w:after="48" w:afterLines="20"/>
                    <w:jc w:val="center"/>
                    <w:textAlignment w:val="center"/>
                    <w:rPr>
                      <w:rFonts w:hint="eastAsia" w:ascii="Times New Roman" w:hAnsi="Times New Roman" w:cs="Times New Roman" w:eastAsiaTheme="minorEastAsia"/>
                      <w:color w:val="auto"/>
                      <w:lang w:val="en-US" w:eastAsia="zh-CN"/>
                    </w:rPr>
                  </w:pPr>
                  <w:r>
                    <w:rPr>
                      <w:rFonts w:hint="default" w:ascii="Times New Roman" w:hAnsi="Times New Roman" w:eastAsia="宋体" w:cs="Times New Roman"/>
                      <w:color w:val="auto"/>
                      <w:kern w:val="0"/>
                    </w:rPr>
                    <w:t>厂界</w:t>
                  </w:r>
                </w:p>
              </w:tc>
              <w:tc>
                <w:tcPr>
                  <w:tcW w:w="2624" w:type="dxa"/>
                  <w:tcBorders>
                    <w:top w:val="single" w:color="000000" w:sz="4" w:space="0"/>
                    <w:left w:val="nil"/>
                    <w:bottom w:val="single" w:color="000000" w:sz="4" w:space="0"/>
                    <w:right w:val="single" w:color="000000" w:sz="4" w:space="0"/>
                  </w:tcBorders>
                  <w:vAlign w:val="center"/>
                </w:tcPr>
                <w:p>
                  <w:pPr>
                    <w:widowControl/>
                    <w:autoSpaceDN w:val="0"/>
                    <w:adjustRightInd w:val="0"/>
                    <w:snapToGrid w:val="0"/>
                    <w:spacing w:before="48" w:beforeLines="20" w:after="48" w:afterLines="2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颗粒物、氟化物</w:t>
                  </w:r>
                </w:p>
              </w:tc>
              <w:tc>
                <w:tcPr>
                  <w:tcW w:w="1556" w:type="dxa"/>
                  <w:tcBorders>
                    <w:top w:val="single" w:color="000000" w:sz="4" w:space="0"/>
                    <w:left w:val="nil"/>
                    <w:bottom w:val="single" w:color="000000" w:sz="4" w:space="0"/>
                    <w:right w:val="single" w:color="000000" w:sz="4" w:space="0"/>
                  </w:tcBorders>
                  <w:vAlign w:val="center"/>
                </w:tcPr>
                <w:p>
                  <w:pPr>
                    <w:widowControl/>
                    <w:autoSpaceDN w:val="0"/>
                    <w:adjustRightInd w:val="0"/>
                    <w:snapToGrid w:val="0"/>
                    <w:spacing w:before="48" w:beforeLines="20" w:after="48" w:afterLines="20"/>
                    <w:jc w:val="center"/>
                    <w:textAlignment w:val="center"/>
                    <w:rPr>
                      <w:rFonts w:hint="eastAsia"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1次/</w:t>
                  </w:r>
                  <w:r>
                    <w:rPr>
                      <w:rFonts w:hint="eastAsia" w:ascii="Times New Roman" w:hAnsi="Times New Roman" w:eastAsia="宋体" w:cs="Times New Roman"/>
                      <w:color w:val="FF0000"/>
                      <w:lang w:val="en-US" w:eastAsia="zh-CN"/>
                    </w:rPr>
                    <w:t>年</w:t>
                  </w:r>
                </w:p>
              </w:tc>
              <w:tc>
                <w:tcPr>
                  <w:tcW w:w="6027" w:type="dxa"/>
                  <w:tcBorders>
                    <w:top w:val="single" w:color="000000" w:sz="4" w:space="0"/>
                    <w:left w:val="nil"/>
                    <w:right w:val="single" w:color="auto" w:sz="4" w:space="0"/>
                  </w:tcBorders>
                  <w:vAlign w:val="center"/>
                </w:tcPr>
                <w:p>
                  <w:pPr>
                    <w:widowControl/>
                    <w:autoSpaceDN w:val="0"/>
                    <w:adjustRightInd w:val="0"/>
                    <w:snapToGrid w:val="0"/>
                    <w:spacing w:before="48" w:beforeLines="20" w:after="48" w:afterLines="20"/>
                    <w:jc w:val="center"/>
                    <w:textAlignment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highlight w:val="none"/>
                      <w:lang w:val="en-US" w:eastAsia="zh-CN"/>
                    </w:rPr>
                    <w:t>《大气污染物综合排放标准》（GB16297-1996）表2中无组织排放监控浓度限值</w:t>
                  </w:r>
                </w:p>
              </w:tc>
            </w:tr>
          </w:tbl>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lang w:eastAsia="zh-CN"/>
              </w:rPr>
              <w:t>二</w:t>
            </w:r>
            <w:r>
              <w:rPr>
                <w:rFonts w:hint="default" w:ascii="Times New Roman" w:hAnsi="Times New Roman" w:eastAsia="宋体" w:cs="Times New Roman"/>
                <w:b/>
                <w:color w:val="auto"/>
                <w:kern w:val="0"/>
                <w:sz w:val="24"/>
                <w:szCs w:val="24"/>
              </w:rPr>
              <w:t>、废水</w:t>
            </w:r>
          </w:p>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1、废水污染源情况</w:t>
            </w:r>
          </w:p>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rPr>
            </w:pPr>
          </w:p>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rPr>
            </w:pPr>
          </w:p>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rPr>
            </w:pPr>
          </w:p>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rPr>
            </w:pPr>
          </w:p>
          <w:p>
            <w:pPr>
              <w:snapToGrid w:val="0"/>
              <w:spacing w:line="24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表4-</w:t>
            </w:r>
            <w:r>
              <w:rPr>
                <w:rFonts w:hint="eastAsia" w:ascii="Times New Roman" w:hAnsi="Times New Roman" w:eastAsia="宋体" w:cs="Times New Roman"/>
                <w:b/>
                <w:bCs/>
                <w:color w:val="auto"/>
                <w:lang w:val="en-US" w:eastAsia="zh-CN"/>
              </w:rPr>
              <w:t xml:space="preserve">7 </w:t>
            </w:r>
            <w:r>
              <w:rPr>
                <w:rFonts w:hint="default" w:ascii="Times New Roman" w:hAnsi="Times New Roman" w:eastAsia="宋体" w:cs="Times New Roman"/>
                <w:b/>
                <w:bCs/>
                <w:color w:val="auto"/>
              </w:rPr>
              <w:t>废水污染源产生、排放汇总表</w:t>
            </w:r>
          </w:p>
          <w:tbl>
            <w:tblPr>
              <w:tblStyle w:val="57"/>
              <w:tblW w:w="11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
              <w:gridCol w:w="368"/>
              <w:gridCol w:w="999"/>
              <w:gridCol w:w="624"/>
              <w:gridCol w:w="643"/>
              <w:gridCol w:w="633"/>
              <w:gridCol w:w="667"/>
              <w:gridCol w:w="667"/>
              <w:gridCol w:w="633"/>
              <w:gridCol w:w="617"/>
              <w:gridCol w:w="600"/>
              <w:gridCol w:w="633"/>
              <w:gridCol w:w="717"/>
              <w:gridCol w:w="450"/>
              <w:gridCol w:w="633"/>
              <w:gridCol w:w="361"/>
              <w:gridCol w:w="614"/>
              <w:gridCol w:w="409"/>
              <w:gridCol w:w="600"/>
              <w:gridCol w:w="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5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产排污环节</w:t>
                  </w:r>
                </w:p>
              </w:tc>
              <w:tc>
                <w:tcPr>
                  <w:tcW w:w="36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类别</w:t>
                  </w:r>
                </w:p>
              </w:tc>
              <w:tc>
                <w:tcPr>
                  <w:tcW w:w="99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w:t>
                  </w:r>
                </w:p>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种类</w:t>
                  </w:r>
                </w:p>
              </w:tc>
              <w:tc>
                <w:tcPr>
                  <w:tcW w:w="1900"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污染物产生量和浓度</w:t>
                  </w:r>
                </w:p>
              </w:tc>
              <w:tc>
                <w:tcPr>
                  <w:tcW w:w="2584"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污染治理设施</w:t>
                  </w:r>
                </w:p>
              </w:tc>
              <w:tc>
                <w:tcPr>
                  <w:tcW w:w="1950"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污染物排放量和浓度</w:t>
                  </w:r>
                </w:p>
              </w:tc>
              <w:tc>
                <w:tcPr>
                  <w:tcW w:w="2467"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排放口基本情况</w:t>
                  </w:r>
                </w:p>
              </w:tc>
              <w:tc>
                <w:tcPr>
                  <w:tcW w:w="123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
                      <w:bCs/>
                      <w:color w:val="auto"/>
                      <w:sz w:val="18"/>
                      <w:szCs w:val="18"/>
                    </w:rPr>
                  </w:pPr>
                </w:p>
              </w:tc>
              <w:tc>
                <w:tcPr>
                  <w:tcW w:w="3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
                      <w:bCs/>
                      <w:color w:val="auto"/>
                      <w:sz w:val="18"/>
                      <w:szCs w:val="18"/>
                    </w:rPr>
                  </w:pPr>
                </w:p>
              </w:tc>
              <w:tc>
                <w:tcPr>
                  <w:tcW w:w="99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
                      <w:bCs/>
                      <w:color w:val="auto"/>
                      <w:sz w:val="18"/>
                      <w:szCs w:val="18"/>
                    </w:rPr>
                  </w:pPr>
                </w:p>
              </w:tc>
              <w:tc>
                <w:tcPr>
                  <w:tcW w:w="624"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废水量</w:t>
                  </w:r>
                </w:p>
              </w:tc>
              <w:tc>
                <w:tcPr>
                  <w:tcW w:w="643"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产生浓度</w:t>
                  </w:r>
                </w:p>
              </w:tc>
              <w:tc>
                <w:tcPr>
                  <w:tcW w:w="633"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产生量</w:t>
                  </w:r>
                </w:p>
              </w:tc>
              <w:tc>
                <w:tcPr>
                  <w:tcW w:w="667"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处理能力</w:t>
                  </w:r>
                </w:p>
              </w:tc>
              <w:tc>
                <w:tcPr>
                  <w:tcW w:w="667" w:type="dxa"/>
                  <w:vMerge w:val="restart"/>
                  <w:tcBorders>
                    <w:top w:val="nil"/>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主要治理工艺</w:t>
                  </w:r>
                </w:p>
              </w:tc>
              <w:tc>
                <w:tcPr>
                  <w:tcW w:w="633"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去除效率</w:t>
                  </w:r>
                </w:p>
              </w:tc>
              <w:tc>
                <w:tcPr>
                  <w:tcW w:w="617"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是否可行技术</w:t>
                  </w:r>
                </w:p>
              </w:tc>
              <w:tc>
                <w:tcPr>
                  <w:tcW w:w="600"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废水量</w:t>
                  </w:r>
                </w:p>
              </w:tc>
              <w:tc>
                <w:tcPr>
                  <w:tcW w:w="633"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排放浓度</w:t>
                  </w:r>
                </w:p>
              </w:tc>
              <w:tc>
                <w:tcPr>
                  <w:tcW w:w="717"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排放量</w:t>
                  </w:r>
                </w:p>
              </w:tc>
              <w:tc>
                <w:tcPr>
                  <w:tcW w:w="450"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pacing w:val="-10"/>
                      <w:sz w:val="18"/>
                      <w:szCs w:val="18"/>
                    </w:rPr>
                  </w:pPr>
                  <w:r>
                    <w:rPr>
                      <w:rFonts w:hint="default" w:ascii="Times New Roman" w:hAnsi="Times New Roman" w:eastAsia="宋体" w:cs="Times New Roman"/>
                      <w:b/>
                      <w:bCs/>
                      <w:color w:val="auto"/>
                      <w:spacing w:val="-10"/>
                      <w:sz w:val="18"/>
                      <w:szCs w:val="18"/>
                    </w:rPr>
                    <w:t>排放</w:t>
                  </w:r>
                </w:p>
                <w:p>
                  <w:pPr>
                    <w:adjustRightInd w:val="0"/>
                    <w:snapToGrid w:val="0"/>
                    <w:spacing w:line="240" w:lineRule="auto"/>
                    <w:jc w:val="center"/>
                    <w:rPr>
                      <w:rFonts w:hint="default" w:ascii="Times New Roman" w:hAnsi="Times New Roman" w:eastAsia="宋体" w:cs="Times New Roman"/>
                      <w:b/>
                      <w:bCs/>
                      <w:color w:val="auto"/>
                      <w:spacing w:val="-10"/>
                      <w:sz w:val="18"/>
                      <w:szCs w:val="18"/>
                    </w:rPr>
                  </w:pPr>
                  <w:r>
                    <w:rPr>
                      <w:rFonts w:hint="default" w:ascii="Times New Roman" w:hAnsi="Times New Roman" w:eastAsia="宋体" w:cs="Times New Roman"/>
                      <w:b/>
                      <w:bCs/>
                      <w:color w:val="auto"/>
                      <w:spacing w:val="-10"/>
                      <w:sz w:val="18"/>
                      <w:szCs w:val="18"/>
                    </w:rPr>
                    <w:t>方式</w:t>
                  </w:r>
                </w:p>
              </w:tc>
              <w:tc>
                <w:tcPr>
                  <w:tcW w:w="633"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排放去向</w:t>
                  </w:r>
                </w:p>
              </w:tc>
              <w:tc>
                <w:tcPr>
                  <w:tcW w:w="361"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排放规律</w:t>
                  </w:r>
                </w:p>
              </w:tc>
              <w:tc>
                <w:tcPr>
                  <w:tcW w:w="614"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排放编号及名称</w:t>
                  </w:r>
                </w:p>
              </w:tc>
              <w:tc>
                <w:tcPr>
                  <w:tcW w:w="409"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排放类型</w:t>
                  </w:r>
                </w:p>
              </w:tc>
              <w:tc>
                <w:tcPr>
                  <w:tcW w:w="600" w:type="dxa"/>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接管标准</w:t>
                  </w:r>
                </w:p>
              </w:tc>
              <w:tc>
                <w:tcPr>
                  <w:tcW w:w="631" w:type="dxa"/>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eastAsia" w:ascii="Times New Roman" w:hAnsi="Times New Roman" w:eastAsia="宋体" w:cs="Times New Roman"/>
                      <w:b/>
                      <w:bCs/>
                      <w:color w:val="auto"/>
                      <w:sz w:val="18"/>
                      <w:szCs w:val="18"/>
                      <w:lang w:eastAsia="zh-CN"/>
                    </w:rPr>
                  </w:pPr>
                  <w:r>
                    <w:rPr>
                      <w:rFonts w:hint="eastAsia" w:ascii="Times New Roman" w:hAnsi="Times New Roman" w:eastAsia="宋体" w:cs="Times New Roman"/>
                      <w:b/>
                      <w:bCs/>
                      <w:color w:val="auto"/>
                      <w:sz w:val="18"/>
                      <w:szCs w:val="18"/>
                      <w:lang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368"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999"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24"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43"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33"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6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6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33"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1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00"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33"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71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450"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33"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361"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14"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409"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auto"/>
                    </w:rPr>
                  </w:pPr>
                </w:p>
              </w:tc>
              <w:tc>
                <w:tcPr>
                  <w:tcW w:w="600"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浓度</w:t>
                  </w:r>
                </w:p>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mg/l</w:t>
                  </w:r>
                </w:p>
              </w:tc>
              <w:tc>
                <w:tcPr>
                  <w:tcW w:w="631"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浓度</w:t>
                  </w:r>
                </w:p>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
                      <w:bCs/>
                      <w:color w:val="auto"/>
                      <w:sz w:val="18"/>
                      <w:szCs w:val="18"/>
                    </w:rPr>
                  </w:pPr>
                </w:p>
              </w:tc>
              <w:tc>
                <w:tcPr>
                  <w:tcW w:w="3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
                      <w:bCs/>
                      <w:color w:val="auto"/>
                      <w:sz w:val="18"/>
                      <w:szCs w:val="18"/>
                    </w:rPr>
                  </w:pPr>
                </w:p>
              </w:tc>
              <w:tc>
                <w:tcPr>
                  <w:tcW w:w="99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
                      <w:bCs/>
                      <w:color w:val="auto"/>
                      <w:sz w:val="18"/>
                      <w:szCs w:val="18"/>
                    </w:rPr>
                  </w:pPr>
                </w:p>
              </w:tc>
              <w:tc>
                <w:tcPr>
                  <w:tcW w:w="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/a</w:t>
                  </w:r>
                </w:p>
              </w:tc>
              <w:tc>
                <w:tcPr>
                  <w:tcW w:w="6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mg/l</w:t>
                  </w:r>
                </w:p>
              </w:tc>
              <w:tc>
                <w:tcPr>
                  <w:tcW w:w="6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t/a</w:t>
                  </w:r>
                </w:p>
              </w:tc>
              <w:tc>
                <w:tcPr>
                  <w:tcW w:w="6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/d</w:t>
                  </w:r>
                </w:p>
              </w:tc>
              <w:tc>
                <w:tcPr>
                  <w:tcW w:w="667"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w:t>
                  </w:r>
                </w:p>
              </w:tc>
              <w:tc>
                <w:tcPr>
                  <w:tcW w:w="61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
                      <w:bCs/>
                      <w:color w:val="auto"/>
                      <w:sz w:val="18"/>
                      <w:szCs w:val="18"/>
                    </w:rPr>
                  </w:pP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/a</w:t>
                  </w:r>
                </w:p>
              </w:tc>
              <w:tc>
                <w:tcPr>
                  <w:tcW w:w="6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mg/l</w:t>
                  </w:r>
                </w:p>
              </w:tc>
              <w:tc>
                <w:tcPr>
                  <w:tcW w:w="7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t/a</w:t>
                  </w:r>
                </w:p>
              </w:tc>
              <w:tc>
                <w:tcPr>
                  <w:tcW w:w="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w:t>
                  </w:r>
                </w:p>
              </w:tc>
              <w:tc>
                <w:tcPr>
                  <w:tcW w:w="6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w:t>
                  </w:r>
                </w:p>
              </w:tc>
              <w:tc>
                <w:tcPr>
                  <w:tcW w:w="3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w:t>
                  </w:r>
                </w:p>
              </w:tc>
              <w:tc>
                <w:tcPr>
                  <w:tcW w:w="6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w:t>
                  </w:r>
                </w:p>
              </w:tc>
              <w:tc>
                <w:tcPr>
                  <w:tcW w:w="4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w:t>
                  </w:r>
                </w:p>
              </w:tc>
              <w:tc>
                <w:tcPr>
                  <w:tcW w:w="600" w:type="dxa"/>
                  <w:vMerge w:val="continue"/>
                  <w:tcBorders>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
                      <w:bCs/>
                      <w:color w:val="auto"/>
                      <w:sz w:val="18"/>
                      <w:szCs w:val="18"/>
                    </w:rPr>
                  </w:pPr>
                </w:p>
              </w:tc>
              <w:tc>
                <w:tcPr>
                  <w:tcW w:w="631" w:type="dxa"/>
                  <w:vMerge w:val="continue"/>
                  <w:tcBorders>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351" w:type="dxa"/>
                  <w:vMerge w:val="restart"/>
                  <w:tcBorders>
                    <w:top w:val="nil"/>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员工生活</w:t>
                  </w:r>
                </w:p>
              </w:tc>
              <w:tc>
                <w:tcPr>
                  <w:tcW w:w="368" w:type="dxa"/>
                  <w:vMerge w:val="restart"/>
                  <w:tcBorders>
                    <w:top w:val="nil"/>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生活污水</w:t>
                  </w:r>
                </w:p>
              </w:tc>
              <w:tc>
                <w:tcPr>
                  <w:tcW w:w="99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pH</w:t>
                  </w:r>
                </w:p>
              </w:tc>
              <w:tc>
                <w:tcPr>
                  <w:tcW w:w="624" w:type="dxa"/>
                  <w:vMerge w:val="restart"/>
                  <w:tcBorders>
                    <w:top w:val="nil"/>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360</w:t>
                  </w:r>
                </w:p>
              </w:tc>
              <w:tc>
                <w:tcPr>
                  <w:tcW w:w="643"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top"/>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6~9</w:t>
                  </w:r>
                </w:p>
              </w:tc>
              <w:tc>
                <w:tcPr>
                  <w:tcW w:w="633"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7" w:type="dxa"/>
                  <w:vMerge w:val="restart"/>
                  <w:tcBorders>
                    <w:top w:val="nil"/>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1.2</w:t>
                  </w:r>
                </w:p>
              </w:tc>
              <w:tc>
                <w:tcPr>
                  <w:tcW w:w="667" w:type="dxa"/>
                  <w:vMerge w:val="restart"/>
                  <w:tcBorders>
                    <w:top w:val="nil"/>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eastAsia="zh-CN"/>
                    </w:rPr>
                    <w:t>隔油池</w:t>
                  </w:r>
                  <w:r>
                    <w:rPr>
                      <w:rFonts w:hint="eastAsia" w:ascii="Times New Roman" w:hAnsi="Times New Roman" w:eastAsia="宋体" w:cs="Times New Roman"/>
                      <w:bCs/>
                      <w:color w:val="auto"/>
                      <w:sz w:val="18"/>
                      <w:szCs w:val="18"/>
                      <w:lang w:val="en-US" w:eastAsia="zh-CN"/>
                    </w:rPr>
                    <w:t>+</w:t>
                  </w:r>
                  <w:r>
                    <w:rPr>
                      <w:rFonts w:hint="default" w:ascii="Times New Roman" w:hAnsi="Times New Roman" w:eastAsia="宋体" w:cs="Times New Roman"/>
                      <w:bCs/>
                      <w:color w:val="auto"/>
                      <w:sz w:val="18"/>
                      <w:szCs w:val="18"/>
                    </w:rPr>
                    <w:t>化粪池</w:t>
                  </w:r>
                </w:p>
              </w:tc>
              <w:tc>
                <w:tcPr>
                  <w:tcW w:w="633"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17" w:type="dxa"/>
                  <w:vMerge w:val="restart"/>
                  <w:tcBorders>
                    <w:top w:val="nil"/>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是</w:t>
                  </w:r>
                </w:p>
              </w:tc>
              <w:tc>
                <w:tcPr>
                  <w:tcW w:w="600" w:type="dxa"/>
                  <w:vMerge w:val="restart"/>
                  <w:tcBorders>
                    <w:top w:val="nil"/>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360</w:t>
                  </w:r>
                </w:p>
              </w:tc>
              <w:tc>
                <w:tcPr>
                  <w:tcW w:w="633"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rPr>
                  </w:pPr>
                  <w:r>
                    <w:rPr>
                      <w:rFonts w:hint="eastAsia" w:ascii="Times New Roman" w:hAnsi="Times New Roman" w:eastAsia="宋体" w:cs="Times New Roman"/>
                      <w:color w:val="auto"/>
                      <w:kern w:val="0"/>
                      <w:sz w:val="18"/>
                      <w:szCs w:val="18"/>
                      <w:lang w:val="en-US" w:eastAsia="zh-CN"/>
                    </w:rPr>
                    <w:t>6~9</w:t>
                  </w:r>
                </w:p>
              </w:tc>
              <w:tc>
                <w:tcPr>
                  <w:tcW w:w="717"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450" w:type="dxa"/>
                  <w:vMerge w:val="restart"/>
                  <w:tcBorders>
                    <w:top w:val="nil"/>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间接排放</w:t>
                  </w:r>
                </w:p>
              </w:tc>
              <w:tc>
                <w:tcPr>
                  <w:tcW w:w="633" w:type="dxa"/>
                  <w:vMerge w:val="restart"/>
                  <w:tcBorders>
                    <w:top w:val="nil"/>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奉新县高新技术产业园污水处理厂</w:t>
                  </w:r>
                </w:p>
              </w:tc>
              <w:tc>
                <w:tcPr>
                  <w:tcW w:w="361" w:type="dxa"/>
                  <w:vMerge w:val="restart"/>
                  <w:tcBorders>
                    <w:top w:val="nil"/>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间接排放</w:t>
                  </w:r>
                </w:p>
              </w:tc>
              <w:tc>
                <w:tcPr>
                  <w:tcW w:w="614" w:type="dxa"/>
                  <w:vMerge w:val="restart"/>
                  <w:tcBorders>
                    <w:top w:val="nil"/>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DW001（生活污水排口）</w:t>
                  </w:r>
                </w:p>
              </w:tc>
              <w:tc>
                <w:tcPr>
                  <w:tcW w:w="409" w:type="dxa"/>
                  <w:vMerge w:val="restart"/>
                  <w:tcBorders>
                    <w:top w:val="nil"/>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val="en-US" w:eastAsia="zh-CN"/>
                    </w:rPr>
                    <w:t>一般排放口</w:t>
                  </w: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kern w:val="0"/>
                      <w:sz w:val="18"/>
                      <w:szCs w:val="18"/>
                      <w:lang w:val="en-US" w:eastAsia="zh-CN"/>
                    </w:rPr>
                    <w:t>6~9</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351" w:type="dxa"/>
                  <w:vMerge w:val="continue"/>
                  <w:tcBorders>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Cs/>
                      <w:color w:val="auto"/>
                      <w:sz w:val="18"/>
                      <w:szCs w:val="18"/>
                    </w:rPr>
                  </w:pPr>
                </w:p>
              </w:tc>
              <w:tc>
                <w:tcPr>
                  <w:tcW w:w="368" w:type="dxa"/>
                  <w:vMerge w:val="continue"/>
                  <w:tcBorders>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Cs/>
                      <w:color w:val="auto"/>
                      <w:sz w:val="18"/>
                      <w:szCs w:val="18"/>
                    </w:rPr>
                  </w:pPr>
                </w:p>
              </w:tc>
              <w:tc>
                <w:tcPr>
                  <w:tcW w:w="99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CODcr</w:t>
                  </w:r>
                </w:p>
              </w:tc>
              <w:tc>
                <w:tcPr>
                  <w:tcW w:w="624"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p>
              </w:tc>
              <w:tc>
                <w:tcPr>
                  <w:tcW w:w="643"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kern w:val="0"/>
                      <w:sz w:val="18"/>
                      <w:szCs w:val="18"/>
                      <w:lang w:val="en-US" w:eastAsia="zh-CN"/>
                    </w:rPr>
                    <w:t>220</w:t>
                  </w:r>
                </w:p>
              </w:tc>
              <w:tc>
                <w:tcPr>
                  <w:tcW w:w="633"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0.079</w:t>
                  </w:r>
                </w:p>
              </w:tc>
              <w:tc>
                <w:tcPr>
                  <w:tcW w:w="66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p>
              </w:tc>
              <w:tc>
                <w:tcPr>
                  <w:tcW w:w="66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p>
              </w:tc>
              <w:tc>
                <w:tcPr>
                  <w:tcW w:w="633"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12</w:t>
                  </w:r>
                </w:p>
              </w:tc>
              <w:tc>
                <w:tcPr>
                  <w:tcW w:w="61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rPr>
                  </w:pPr>
                </w:p>
              </w:tc>
              <w:tc>
                <w:tcPr>
                  <w:tcW w:w="60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p>
              </w:tc>
              <w:tc>
                <w:tcPr>
                  <w:tcW w:w="633"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193.6</w:t>
                  </w:r>
                </w:p>
              </w:tc>
              <w:tc>
                <w:tcPr>
                  <w:tcW w:w="717"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0.07</w:t>
                  </w:r>
                </w:p>
              </w:tc>
              <w:tc>
                <w:tcPr>
                  <w:tcW w:w="45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rPr>
                  </w:pPr>
                </w:p>
              </w:tc>
              <w:tc>
                <w:tcPr>
                  <w:tcW w:w="633"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rPr>
                  </w:pPr>
                </w:p>
              </w:tc>
              <w:tc>
                <w:tcPr>
                  <w:tcW w:w="361"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eastAsia="zh-CN"/>
                    </w:rPr>
                  </w:pPr>
                </w:p>
              </w:tc>
              <w:tc>
                <w:tcPr>
                  <w:tcW w:w="614"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rPr>
                  </w:pPr>
                </w:p>
              </w:tc>
              <w:tc>
                <w:tcPr>
                  <w:tcW w:w="409"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rPr>
                  </w:pP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340</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51"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368"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BOD</w:t>
                  </w:r>
                  <w:r>
                    <w:rPr>
                      <w:rFonts w:hint="default" w:ascii="Times New Roman" w:hAnsi="Times New Roman" w:eastAsia="宋体" w:cs="Times New Roman"/>
                      <w:bCs/>
                      <w:color w:val="auto"/>
                      <w:sz w:val="18"/>
                      <w:szCs w:val="18"/>
                      <w:vertAlign w:val="subscript"/>
                    </w:rPr>
                    <w:t>5</w:t>
                  </w:r>
                </w:p>
              </w:tc>
              <w:tc>
                <w:tcPr>
                  <w:tcW w:w="62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kern w:val="0"/>
                      <w:sz w:val="18"/>
                      <w:szCs w:val="18"/>
                      <w:lang w:val="en-US" w:eastAsia="zh-CN"/>
                    </w:rPr>
                    <w:t>120</w:t>
                  </w: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0.043</w:t>
                  </w: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17</w:t>
                  </w:r>
                </w:p>
              </w:tc>
              <w:tc>
                <w:tcPr>
                  <w:tcW w:w="61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99.6</w:t>
                  </w:r>
                </w:p>
              </w:tc>
              <w:tc>
                <w:tcPr>
                  <w:tcW w:w="7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0.036</w:t>
                  </w:r>
                </w:p>
              </w:tc>
              <w:tc>
                <w:tcPr>
                  <w:tcW w:w="45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361"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1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4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300</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51"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368"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SS</w:t>
                  </w:r>
                </w:p>
              </w:tc>
              <w:tc>
                <w:tcPr>
                  <w:tcW w:w="62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150</w:t>
                  </w: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0.054</w:t>
                  </w: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20</w:t>
                  </w:r>
                </w:p>
              </w:tc>
              <w:tc>
                <w:tcPr>
                  <w:tcW w:w="61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120</w:t>
                  </w:r>
                </w:p>
              </w:tc>
              <w:tc>
                <w:tcPr>
                  <w:tcW w:w="7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0.043</w:t>
                  </w:r>
                </w:p>
              </w:tc>
              <w:tc>
                <w:tcPr>
                  <w:tcW w:w="45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361"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1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4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400</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368"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NH</w:t>
                  </w:r>
                  <w:r>
                    <w:rPr>
                      <w:rFonts w:hint="default" w:ascii="Times New Roman" w:hAnsi="Times New Roman" w:eastAsia="宋体" w:cs="Times New Roman"/>
                      <w:bCs/>
                      <w:color w:val="auto"/>
                      <w:sz w:val="18"/>
                      <w:szCs w:val="18"/>
                      <w:vertAlign w:val="subscript"/>
                    </w:rPr>
                    <w:t>3</w:t>
                  </w:r>
                  <w:r>
                    <w:rPr>
                      <w:rFonts w:hint="default" w:ascii="Times New Roman" w:hAnsi="Times New Roman" w:eastAsia="宋体" w:cs="Times New Roman"/>
                      <w:bCs/>
                      <w:color w:val="auto"/>
                      <w:sz w:val="18"/>
                      <w:szCs w:val="18"/>
                    </w:rPr>
                    <w:t>-N</w:t>
                  </w:r>
                </w:p>
              </w:tc>
              <w:tc>
                <w:tcPr>
                  <w:tcW w:w="62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kern w:val="0"/>
                      <w:sz w:val="18"/>
                      <w:szCs w:val="18"/>
                      <w:lang w:val="en-US" w:eastAsia="zh-CN"/>
                    </w:rPr>
                    <w:t>25</w:t>
                  </w: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0.009</w:t>
                  </w: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17</w:t>
                  </w:r>
                </w:p>
              </w:tc>
              <w:tc>
                <w:tcPr>
                  <w:tcW w:w="61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20.75</w:t>
                  </w:r>
                </w:p>
              </w:tc>
              <w:tc>
                <w:tcPr>
                  <w:tcW w:w="7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0.008</w:t>
                  </w:r>
                </w:p>
              </w:tc>
              <w:tc>
                <w:tcPr>
                  <w:tcW w:w="45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361"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1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4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30</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1"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368"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TN</w:t>
                  </w:r>
                </w:p>
              </w:tc>
              <w:tc>
                <w:tcPr>
                  <w:tcW w:w="62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top"/>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45</w:t>
                  </w: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0.016</w:t>
                  </w: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1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45</w:t>
                  </w:r>
                </w:p>
              </w:tc>
              <w:tc>
                <w:tcPr>
                  <w:tcW w:w="7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0.016</w:t>
                  </w:r>
                </w:p>
              </w:tc>
              <w:tc>
                <w:tcPr>
                  <w:tcW w:w="45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361"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1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4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50</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1"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368"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TP</w:t>
                  </w:r>
                </w:p>
              </w:tc>
              <w:tc>
                <w:tcPr>
                  <w:tcW w:w="62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top"/>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w:t>
                  </w: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0.001</w:t>
                  </w: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5</w:t>
                  </w:r>
                </w:p>
              </w:tc>
              <w:tc>
                <w:tcPr>
                  <w:tcW w:w="61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2.85</w:t>
                  </w:r>
                </w:p>
              </w:tc>
              <w:tc>
                <w:tcPr>
                  <w:tcW w:w="7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0.001</w:t>
                  </w:r>
                </w:p>
              </w:tc>
              <w:tc>
                <w:tcPr>
                  <w:tcW w:w="45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361"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1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4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5</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1"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368" w:type="dxa"/>
                  <w:vMerge w:val="continue"/>
                  <w:tcBorders>
                    <w:left w:val="single" w:color="auto" w:sz="4" w:space="0"/>
                    <w:right w:val="single" w:color="auto" w:sz="4" w:space="0"/>
                  </w:tcBorders>
                  <w:vAlign w:val="center"/>
                </w:tcPr>
                <w:p>
                  <w:pPr>
                    <w:widowControl/>
                    <w:spacing w:line="240" w:lineRule="auto"/>
                    <w:jc w:val="left"/>
                    <w:rPr>
                      <w:rFonts w:hint="default" w:ascii="Times New Roman" w:hAnsi="Times New Roman" w:eastAsia="宋体" w:cs="Times New Roman"/>
                      <w:bCs/>
                      <w:color w:val="auto"/>
                      <w:sz w:val="18"/>
                      <w:szCs w:val="18"/>
                    </w:rPr>
                  </w:pPr>
                </w:p>
              </w:tc>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动植物油</w:t>
                  </w:r>
                </w:p>
              </w:tc>
              <w:tc>
                <w:tcPr>
                  <w:tcW w:w="62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top"/>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28</w:t>
                  </w: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0.01</w:t>
                  </w: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6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50</w:t>
                  </w:r>
                </w:p>
              </w:tc>
              <w:tc>
                <w:tcPr>
                  <w:tcW w:w="61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14</w:t>
                  </w:r>
                </w:p>
              </w:tc>
              <w:tc>
                <w:tcPr>
                  <w:tcW w:w="7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0.005</w:t>
                  </w:r>
                </w:p>
              </w:tc>
              <w:tc>
                <w:tcPr>
                  <w:tcW w:w="45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kern w:val="2"/>
                      <w:sz w:val="18"/>
                      <w:szCs w:val="18"/>
                      <w:lang w:val="en-US" w:eastAsia="zh-CN" w:bidi="ar-SA"/>
                    </w:rPr>
                  </w:pPr>
                </w:p>
              </w:tc>
              <w:tc>
                <w:tcPr>
                  <w:tcW w:w="63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361"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1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4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bCs/>
                      <w:color w:val="auto"/>
                      <w:sz w:val="18"/>
                      <w:szCs w:val="18"/>
                    </w:rPr>
                  </w:pP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100</w:t>
                  </w:r>
                </w:p>
              </w:tc>
              <w:tc>
                <w:tcPr>
                  <w:tcW w:w="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top"/>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w:t>
                  </w:r>
                </w:p>
              </w:tc>
            </w:tr>
          </w:tbl>
          <w:p>
            <w:pPr>
              <w:pStyle w:val="617"/>
              <w:adjustRightInd w:val="0"/>
              <w:snapToGrid w:val="0"/>
              <w:spacing w:before="0" w:beforeAutospacing="0" w:after="0" w:afterAutospacing="0"/>
              <w:ind w:right="0"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废水污染源强计算过程：</w:t>
            </w:r>
          </w:p>
          <w:p>
            <w:pPr>
              <w:pStyle w:val="24"/>
              <w:spacing w:after="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（1）生活污水</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kern w:val="44"/>
                <w:sz w:val="24"/>
                <w:szCs w:val="24"/>
                <w:lang w:eastAsia="zh-CN"/>
              </w:rPr>
            </w:pPr>
            <w:r>
              <w:rPr>
                <w:rFonts w:hint="default" w:ascii="Times New Roman" w:hAnsi="Times New Roman" w:eastAsia="宋体" w:cs="Times New Roman"/>
                <w:bCs/>
                <w:color w:val="auto"/>
                <w:kern w:val="44"/>
                <w:sz w:val="24"/>
                <w:szCs w:val="24"/>
              </w:rPr>
              <w:t>项目劳动定员</w:t>
            </w:r>
            <w:r>
              <w:rPr>
                <w:rFonts w:hint="eastAsia" w:ascii="Times New Roman" w:hAnsi="Times New Roman" w:eastAsia="宋体" w:cs="Times New Roman"/>
                <w:bCs/>
                <w:color w:val="auto"/>
                <w:kern w:val="44"/>
                <w:sz w:val="24"/>
                <w:szCs w:val="24"/>
                <w:lang w:val="en-US" w:eastAsia="zh-CN"/>
              </w:rPr>
              <w:t>15</w:t>
            </w:r>
            <w:r>
              <w:rPr>
                <w:rFonts w:hint="default" w:ascii="Times New Roman" w:hAnsi="Times New Roman" w:eastAsia="宋体" w:cs="Times New Roman"/>
                <w:bCs/>
                <w:color w:val="auto"/>
                <w:kern w:val="44"/>
                <w:sz w:val="24"/>
                <w:szCs w:val="24"/>
              </w:rPr>
              <w:t>人，人均用水量按</w:t>
            </w:r>
            <w:r>
              <w:rPr>
                <w:rFonts w:hint="eastAsia" w:ascii="Times New Roman" w:hAnsi="Times New Roman" w:eastAsia="宋体" w:cs="Times New Roman"/>
                <w:bCs/>
                <w:color w:val="auto"/>
                <w:kern w:val="44"/>
                <w:sz w:val="24"/>
                <w:szCs w:val="24"/>
                <w:lang w:val="en-US" w:eastAsia="zh-CN"/>
              </w:rPr>
              <w:t>100</w:t>
            </w:r>
            <w:r>
              <w:rPr>
                <w:rFonts w:hint="default" w:ascii="Times New Roman" w:hAnsi="Times New Roman" w:eastAsia="宋体" w:cs="Times New Roman"/>
                <w:bCs/>
                <w:color w:val="auto"/>
                <w:kern w:val="44"/>
                <w:sz w:val="24"/>
                <w:szCs w:val="24"/>
              </w:rPr>
              <w:t>L/人·d，年运行天数为</w:t>
            </w:r>
            <w:r>
              <w:rPr>
                <w:rFonts w:hint="eastAsia" w:ascii="Times New Roman" w:hAnsi="Times New Roman" w:eastAsia="宋体" w:cs="Times New Roman"/>
                <w:bCs/>
                <w:color w:val="auto"/>
                <w:kern w:val="44"/>
                <w:sz w:val="24"/>
                <w:szCs w:val="24"/>
                <w:lang w:val="en-US" w:eastAsia="zh-CN"/>
              </w:rPr>
              <w:t>300</w:t>
            </w:r>
            <w:r>
              <w:rPr>
                <w:rFonts w:hint="default" w:ascii="Times New Roman" w:hAnsi="Times New Roman" w:eastAsia="宋体" w:cs="Times New Roman"/>
                <w:bCs/>
                <w:color w:val="auto"/>
                <w:kern w:val="44"/>
                <w:sz w:val="24"/>
                <w:szCs w:val="24"/>
              </w:rPr>
              <w:t>天，则用水量为</w:t>
            </w:r>
            <w:r>
              <w:rPr>
                <w:rFonts w:hint="eastAsia" w:ascii="Times New Roman" w:hAnsi="Times New Roman" w:eastAsia="宋体" w:cs="Times New Roman"/>
                <w:bCs/>
                <w:color w:val="auto"/>
                <w:kern w:val="44"/>
                <w:sz w:val="24"/>
                <w:szCs w:val="24"/>
                <w:lang w:val="en-US" w:eastAsia="zh-CN"/>
              </w:rPr>
              <w:t>1.5</w:t>
            </w:r>
            <w:r>
              <w:rPr>
                <w:rFonts w:hint="default" w:ascii="Times New Roman" w:hAnsi="Times New Roman" w:eastAsia="宋体" w:cs="Times New Roman"/>
                <w:bCs/>
                <w:color w:val="auto"/>
                <w:kern w:val="44"/>
                <w:sz w:val="24"/>
                <w:szCs w:val="24"/>
              </w:rPr>
              <w:t>m</w:t>
            </w:r>
            <w:r>
              <w:rPr>
                <w:rFonts w:hint="default" w:ascii="Times New Roman" w:hAnsi="Times New Roman" w:eastAsia="宋体" w:cs="Times New Roman"/>
                <w:bCs/>
                <w:color w:val="auto"/>
                <w:kern w:val="44"/>
                <w:sz w:val="24"/>
                <w:szCs w:val="24"/>
                <w:vertAlign w:val="superscript"/>
              </w:rPr>
              <w:t>3</w:t>
            </w:r>
            <w:r>
              <w:rPr>
                <w:rFonts w:hint="default" w:ascii="Times New Roman" w:hAnsi="Times New Roman" w:eastAsia="宋体" w:cs="Times New Roman"/>
                <w:bCs/>
                <w:color w:val="auto"/>
                <w:kern w:val="44"/>
                <w:sz w:val="24"/>
                <w:szCs w:val="24"/>
              </w:rPr>
              <w:t>/d（</w:t>
            </w:r>
            <w:r>
              <w:rPr>
                <w:rFonts w:hint="eastAsia" w:ascii="Times New Roman" w:hAnsi="Times New Roman" w:eastAsia="宋体" w:cs="Times New Roman"/>
                <w:bCs/>
                <w:color w:val="auto"/>
                <w:kern w:val="44"/>
                <w:sz w:val="24"/>
                <w:szCs w:val="24"/>
                <w:lang w:val="en-US" w:eastAsia="zh-CN"/>
              </w:rPr>
              <w:t>450</w:t>
            </w:r>
            <w:r>
              <w:rPr>
                <w:rFonts w:hint="default" w:ascii="Times New Roman" w:hAnsi="Times New Roman" w:eastAsia="宋体" w:cs="Times New Roman"/>
                <w:bCs/>
                <w:color w:val="auto"/>
                <w:kern w:val="44"/>
                <w:sz w:val="24"/>
                <w:szCs w:val="24"/>
              </w:rPr>
              <w:t>m</w:t>
            </w:r>
            <w:r>
              <w:rPr>
                <w:rFonts w:hint="default" w:ascii="Times New Roman" w:hAnsi="Times New Roman" w:eastAsia="宋体" w:cs="Times New Roman"/>
                <w:bCs/>
                <w:color w:val="auto"/>
                <w:kern w:val="44"/>
                <w:sz w:val="24"/>
                <w:szCs w:val="24"/>
                <w:vertAlign w:val="superscript"/>
              </w:rPr>
              <w:t>3</w:t>
            </w:r>
            <w:r>
              <w:rPr>
                <w:rFonts w:hint="default" w:ascii="Times New Roman" w:hAnsi="Times New Roman" w:eastAsia="宋体" w:cs="Times New Roman"/>
                <w:bCs/>
                <w:color w:val="auto"/>
                <w:kern w:val="44"/>
                <w:sz w:val="24"/>
                <w:szCs w:val="24"/>
              </w:rPr>
              <w:t>/a），排水量按照用水量的80%计，</w:t>
            </w:r>
            <w:r>
              <w:rPr>
                <w:rFonts w:hint="default" w:ascii="Times New Roman" w:hAnsi="Times New Roman" w:eastAsia="宋体" w:cs="Times New Roman"/>
                <w:color w:val="auto"/>
                <w:spacing w:val="-10"/>
                <w:sz w:val="24"/>
                <w:szCs w:val="24"/>
              </w:rPr>
              <w:t>项目建成后</w:t>
            </w:r>
            <w:r>
              <w:rPr>
                <w:rFonts w:hint="default" w:ascii="Times New Roman" w:hAnsi="Times New Roman" w:eastAsia="宋体" w:cs="Times New Roman"/>
                <w:bCs/>
                <w:color w:val="auto"/>
                <w:kern w:val="44"/>
                <w:sz w:val="24"/>
                <w:szCs w:val="24"/>
              </w:rPr>
              <w:t>生活污水排放量为</w:t>
            </w:r>
            <w:r>
              <w:rPr>
                <w:rFonts w:hint="eastAsia" w:ascii="Times New Roman" w:hAnsi="Times New Roman" w:eastAsia="宋体" w:cs="Times New Roman"/>
                <w:bCs/>
                <w:color w:val="auto"/>
                <w:kern w:val="44"/>
                <w:sz w:val="24"/>
                <w:szCs w:val="24"/>
                <w:lang w:val="en-US" w:eastAsia="zh-CN"/>
              </w:rPr>
              <w:t>1.2</w:t>
            </w:r>
            <w:r>
              <w:rPr>
                <w:rFonts w:hint="default" w:ascii="Times New Roman" w:hAnsi="Times New Roman" w:eastAsia="宋体" w:cs="Times New Roman"/>
                <w:bCs/>
                <w:color w:val="auto"/>
                <w:kern w:val="44"/>
                <w:sz w:val="24"/>
                <w:szCs w:val="24"/>
              </w:rPr>
              <w:t>m</w:t>
            </w:r>
            <w:r>
              <w:rPr>
                <w:rFonts w:hint="default" w:ascii="Times New Roman" w:hAnsi="Times New Roman" w:eastAsia="宋体" w:cs="Times New Roman"/>
                <w:bCs/>
                <w:color w:val="auto"/>
                <w:kern w:val="44"/>
                <w:sz w:val="24"/>
                <w:szCs w:val="24"/>
                <w:vertAlign w:val="superscript"/>
              </w:rPr>
              <w:t>3</w:t>
            </w:r>
            <w:r>
              <w:rPr>
                <w:rFonts w:hint="default" w:ascii="Times New Roman" w:hAnsi="Times New Roman" w:eastAsia="宋体" w:cs="Times New Roman"/>
                <w:bCs/>
                <w:color w:val="auto"/>
                <w:kern w:val="44"/>
                <w:sz w:val="24"/>
                <w:szCs w:val="24"/>
              </w:rPr>
              <w:t>/d（</w:t>
            </w:r>
            <w:r>
              <w:rPr>
                <w:rFonts w:hint="eastAsia" w:ascii="Times New Roman" w:hAnsi="Times New Roman" w:eastAsia="宋体" w:cs="Times New Roman"/>
                <w:bCs/>
                <w:color w:val="auto"/>
                <w:kern w:val="44"/>
                <w:sz w:val="24"/>
                <w:szCs w:val="24"/>
                <w:lang w:val="en-US" w:eastAsia="zh-CN"/>
              </w:rPr>
              <w:t>360</w:t>
            </w:r>
            <w:r>
              <w:rPr>
                <w:rFonts w:hint="default" w:ascii="Times New Roman" w:hAnsi="Times New Roman" w:eastAsia="宋体" w:cs="Times New Roman"/>
                <w:bCs/>
                <w:color w:val="auto"/>
                <w:kern w:val="44"/>
                <w:sz w:val="24"/>
                <w:szCs w:val="24"/>
              </w:rPr>
              <w:t>m</w:t>
            </w:r>
            <w:r>
              <w:rPr>
                <w:rFonts w:hint="default" w:ascii="Times New Roman" w:hAnsi="Times New Roman" w:eastAsia="宋体" w:cs="Times New Roman"/>
                <w:bCs/>
                <w:color w:val="auto"/>
                <w:kern w:val="44"/>
                <w:sz w:val="24"/>
                <w:szCs w:val="24"/>
                <w:vertAlign w:val="superscript"/>
              </w:rPr>
              <w:t>3</w:t>
            </w:r>
            <w:r>
              <w:rPr>
                <w:rFonts w:hint="default" w:ascii="Times New Roman" w:hAnsi="Times New Roman" w:eastAsia="宋体" w:cs="Times New Roman"/>
                <w:bCs/>
                <w:color w:val="auto"/>
                <w:kern w:val="44"/>
                <w:sz w:val="24"/>
                <w:szCs w:val="24"/>
              </w:rPr>
              <w:t>/a）</w:t>
            </w:r>
            <w:r>
              <w:rPr>
                <w:rFonts w:hint="default" w:ascii="Times New Roman" w:hAnsi="Times New Roman" w:eastAsia="宋体" w:cs="Times New Roman"/>
                <w:color w:val="auto"/>
                <w:sz w:val="24"/>
                <w:szCs w:val="24"/>
              </w:rPr>
              <w:t>，生活污水经</w:t>
            </w:r>
            <w:r>
              <w:rPr>
                <w:rFonts w:hint="eastAsia" w:ascii="Times New Roman" w:hAnsi="Times New Roman" w:eastAsia="宋体" w:cs="Times New Roman"/>
                <w:color w:val="auto"/>
                <w:sz w:val="24"/>
                <w:szCs w:val="24"/>
                <w:lang w:eastAsia="zh-CN"/>
              </w:rPr>
              <w:t>隔油池</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化粪池</w:t>
            </w:r>
            <w:r>
              <w:rPr>
                <w:rFonts w:hint="eastAsia" w:ascii="Times New Roman" w:hAnsi="Times New Roman" w:eastAsia="宋体" w:cs="Times New Roman"/>
                <w:color w:val="auto"/>
                <w:sz w:val="24"/>
                <w:szCs w:val="24"/>
                <w:lang w:eastAsia="zh-CN"/>
              </w:rPr>
              <w:t>预</w:t>
            </w:r>
            <w:r>
              <w:rPr>
                <w:rFonts w:hint="default" w:ascii="Times New Roman" w:hAnsi="Times New Roman" w:eastAsia="宋体" w:cs="Times New Roman"/>
                <w:color w:val="auto"/>
                <w:sz w:val="24"/>
                <w:szCs w:val="24"/>
              </w:rPr>
              <w:t>处理</w:t>
            </w:r>
            <w:r>
              <w:rPr>
                <w:rFonts w:hint="eastAsia" w:ascii="Times New Roman" w:hAnsi="Times New Roman" w:eastAsia="宋体" w:cs="Times New Roman"/>
                <w:color w:val="auto"/>
                <w:sz w:val="24"/>
                <w:szCs w:val="24"/>
                <w:lang w:eastAsia="zh-CN"/>
              </w:rPr>
              <w:t>达奉新县高新技术产业园污水处理厂接管标准后通过陆丰管业污水管网排入奉新县高新技术产业园污水处理厂深度处理，处理后达</w:t>
            </w:r>
            <w:r>
              <w:rPr>
                <w:rFonts w:hint="eastAsia" w:ascii="Times New Roman" w:hAnsi="Times New Roman" w:eastAsia="宋体" w:cs="Times New Roman"/>
                <w:color w:val="auto"/>
                <w:sz w:val="24"/>
                <w:szCs w:val="24"/>
                <w:lang w:val="en-US" w:eastAsia="zh-CN"/>
              </w:rPr>
              <w:t>《城镇污水处理厂污染物排放标准》（GB18918-2002）一级A标准后外排南潦河</w:t>
            </w:r>
            <w:r>
              <w:rPr>
                <w:rFonts w:hint="default" w:ascii="Times New Roman" w:hAnsi="Times New Roman" w:eastAsia="宋体" w:cs="Times New Roman"/>
                <w:color w:val="auto"/>
                <w:sz w:val="24"/>
                <w:szCs w:val="24"/>
              </w:rPr>
              <w:t>。</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kern w:val="44"/>
                <w:sz w:val="24"/>
                <w:szCs w:val="24"/>
              </w:rPr>
            </w:pPr>
            <w:r>
              <w:rPr>
                <w:rFonts w:hint="default" w:ascii="Times New Roman" w:hAnsi="Times New Roman" w:eastAsia="宋体" w:cs="Times New Roman"/>
                <w:bCs/>
                <w:color w:val="auto"/>
                <w:kern w:val="44"/>
                <w:sz w:val="24"/>
                <w:szCs w:val="24"/>
              </w:rPr>
              <w:t>（</w:t>
            </w:r>
            <w:r>
              <w:rPr>
                <w:rFonts w:hint="eastAsia" w:ascii="Times New Roman" w:hAnsi="Times New Roman" w:eastAsia="宋体" w:cs="Times New Roman"/>
                <w:bCs/>
                <w:color w:val="auto"/>
                <w:kern w:val="44"/>
                <w:sz w:val="24"/>
                <w:szCs w:val="24"/>
              </w:rPr>
              <w:t>2</w:t>
            </w:r>
            <w:r>
              <w:rPr>
                <w:rFonts w:hint="default" w:ascii="Times New Roman" w:hAnsi="Times New Roman" w:eastAsia="宋体" w:cs="Times New Roman"/>
                <w:bCs/>
                <w:color w:val="auto"/>
                <w:kern w:val="44"/>
                <w:sz w:val="24"/>
                <w:szCs w:val="24"/>
              </w:rPr>
              <w:t>）抑尘用水</w:t>
            </w:r>
          </w:p>
          <w:p>
            <w:pPr>
              <w:numPr>
                <w:ilvl w:val="0"/>
                <w:numId w:val="0"/>
              </w:numPr>
              <w:adjustRightInd w:val="0"/>
              <w:snapToGrid w:val="0"/>
              <w:spacing w:line="360" w:lineRule="auto"/>
              <w:ind w:firstLine="480" w:firstLineChars="200"/>
              <w:rPr>
                <w:rFonts w:hint="eastAsia" w:ascii="Times New Roman" w:hAnsi="Times New Roman" w:eastAsia="宋体" w:cs="Times New Roman"/>
                <w:bCs/>
                <w:color w:val="auto"/>
                <w:kern w:val="44"/>
                <w:sz w:val="24"/>
                <w:szCs w:val="24"/>
                <w:lang w:val="en-US" w:eastAsia="zh-CN"/>
              </w:rPr>
            </w:pPr>
            <w:r>
              <w:rPr>
                <w:rFonts w:hint="default" w:ascii="Times New Roman" w:hAnsi="Times New Roman" w:eastAsia="宋体" w:cs="Times New Roman"/>
                <w:bCs/>
                <w:color w:val="auto"/>
                <w:kern w:val="44"/>
                <w:sz w:val="24"/>
                <w:szCs w:val="24"/>
              </w:rPr>
              <w:t>本项目抑尘洒水主要是</w:t>
            </w:r>
            <w:r>
              <w:rPr>
                <w:rFonts w:hint="eastAsia" w:ascii="Times New Roman" w:hAnsi="Times New Roman" w:eastAsia="宋体" w:cs="Times New Roman"/>
                <w:bCs/>
                <w:color w:val="auto"/>
                <w:kern w:val="44"/>
                <w:sz w:val="24"/>
                <w:szCs w:val="24"/>
                <w:lang w:eastAsia="zh-CN"/>
              </w:rPr>
              <w:t>为降低</w:t>
            </w:r>
            <w:r>
              <w:rPr>
                <w:rFonts w:hint="eastAsia" w:ascii="Times New Roman" w:hAnsi="Times New Roman" w:eastAsia="宋体" w:cs="Times New Roman"/>
                <w:bCs/>
                <w:color w:val="auto"/>
                <w:kern w:val="44"/>
                <w:sz w:val="24"/>
                <w:szCs w:val="24"/>
                <w:lang w:val="en-US" w:eastAsia="zh-CN"/>
              </w:rPr>
              <w:t>项目运输车辆通过陆丰管业厂区</w:t>
            </w:r>
            <w:r>
              <w:rPr>
                <w:rFonts w:hint="default" w:ascii="Times New Roman" w:hAnsi="Times New Roman" w:eastAsia="宋体" w:cs="Times New Roman"/>
                <w:bCs/>
                <w:color w:val="auto"/>
                <w:kern w:val="44"/>
                <w:sz w:val="24"/>
                <w:szCs w:val="24"/>
              </w:rPr>
              <w:t>道路</w:t>
            </w:r>
            <w:r>
              <w:rPr>
                <w:rFonts w:hint="eastAsia" w:ascii="Times New Roman" w:hAnsi="Times New Roman" w:eastAsia="宋体" w:cs="Times New Roman"/>
                <w:bCs/>
                <w:color w:val="auto"/>
                <w:kern w:val="44"/>
                <w:sz w:val="24"/>
                <w:szCs w:val="24"/>
                <w:lang w:eastAsia="zh-CN"/>
              </w:rPr>
              <w:t>进出生产厂房时产生的车辆扬尘。故，</w:t>
            </w:r>
            <w:r>
              <w:rPr>
                <w:rFonts w:hint="eastAsia" w:ascii="Times New Roman" w:hAnsi="Times New Roman" w:eastAsia="宋体" w:cs="Times New Roman"/>
                <w:bCs w:val="0"/>
                <w:color w:val="auto"/>
                <w:sz w:val="24"/>
                <w:szCs w:val="24"/>
                <w:lang w:val="en-US" w:eastAsia="zh-CN"/>
              </w:rPr>
              <w:t>陆丰管业厂区道路每天需进行洒水抑尘。道路洒水抑尘量按照2.5m</w:t>
            </w:r>
            <w:r>
              <w:rPr>
                <w:rFonts w:hint="eastAsia" w:ascii="Times New Roman" w:hAnsi="Times New Roman" w:eastAsia="宋体" w:cs="Times New Roman"/>
                <w:bCs w:val="0"/>
                <w:color w:val="auto"/>
                <w:sz w:val="24"/>
                <w:szCs w:val="24"/>
                <w:vertAlign w:val="superscript"/>
                <w:lang w:val="en-US" w:eastAsia="zh-CN"/>
              </w:rPr>
              <w:t>3</w:t>
            </w:r>
            <w:r>
              <w:rPr>
                <w:rFonts w:hint="eastAsia" w:ascii="Times New Roman" w:hAnsi="Times New Roman" w:eastAsia="宋体" w:cs="Times New Roman"/>
                <w:bCs w:val="0"/>
                <w:color w:val="auto"/>
                <w:sz w:val="24"/>
                <w:szCs w:val="24"/>
                <w:lang w:val="en-US" w:eastAsia="zh-CN"/>
              </w:rPr>
              <w:t>/d（750m</w:t>
            </w:r>
            <w:r>
              <w:rPr>
                <w:rFonts w:hint="eastAsia" w:ascii="Times New Roman" w:hAnsi="Times New Roman" w:eastAsia="宋体" w:cs="Times New Roman"/>
                <w:bCs w:val="0"/>
                <w:color w:val="auto"/>
                <w:sz w:val="24"/>
                <w:szCs w:val="24"/>
                <w:vertAlign w:val="superscript"/>
                <w:lang w:val="en-US" w:eastAsia="zh-CN"/>
              </w:rPr>
              <w:t>3</w:t>
            </w:r>
            <w:r>
              <w:rPr>
                <w:rFonts w:hint="eastAsia" w:ascii="Times New Roman" w:hAnsi="Times New Roman" w:eastAsia="宋体" w:cs="Times New Roman"/>
                <w:bCs w:val="0"/>
                <w:color w:val="auto"/>
                <w:sz w:val="24"/>
                <w:szCs w:val="24"/>
                <w:lang w:val="en-US" w:eastAsia="zh-CN"/>
              </w:rPr>
              <w:t>/a）计算。</w:t>
            </w:r>
            <w:r>
              <w:rPr>
                <w:rFonts w:hint="eastAsia" w:ascii="Times New Roman" w:hAnsi="Times New Roman" w:eastAsia="宋体" w:cs="Times New Roman"/>
                <w:bCs/>
                <w:color w:val="auto"/>
                <w:kern w:val="44"/>
                <w:sz w:val="24"/>
                <w:szCs w:val="24"/>
                <w:lang w:val="en-US" w:eastAsia="zh-CN"/>
              </w:rPr>
              <w:t>项目厂区及车辆进出道路洒水抑尘用水全部蒸发，不外排。</w:t>
            </w:r>
          </w:p>
          <w:p>
            <w:pPr>
              <w:numPr>
                <w:ilvl w:val="0"/>
                <w:numId w:val="0"/>
              </w:numPr>
              <w:adjustRightInd w:val="0"/>
              <w:snapToGrid w:val="0"/>
              <w:spacing w:line="360" w:lineRule="auto"/>
              <w:ind w:firstLine="480" w:firstLineChars="200"/>
              <w:rPr>
                <w:rFonts w:hint="default" w:ascii="Times New Roman" w:hAnsi="Times New Roman" w:eastAsia="宋体" w:cs="Times New Roman"/>
                <w:bCs w:val="0"/>
                <w:color w:val="auto"/>
                <w:sz w:val="24"/>
                <w:szCs w:val="24"/>
                <w:lang w:val="en-US" w:eastAsia="zh-CN"/>
              </w:rPr>
            </w:pPr>
            <w:r>
              <w:rPr>
                <w:rFonts w:hint="eastAsia" w:ascii="Times New Roman" w:hAnsi="Times New Roman" w:eastAsia="宋体" w:cs="Times New Roman"/>
                <w:bCs w:val="0"/>
                <w:color w:val="auto"/>
                <w:sz w:val="24"/>
                <w:szCs w:val="24"/>
                <w:lang w:val="en-US" w:eastAsia="zh-CN"/>
              </w:rPr>
              <w:t>（3）车辆冲洗水</w:t>
            </w:r>
          </w:p>
          <w:p>
            <w:pPr>
              <w:spacing w:line="360" w:lineRule="auto"/>
              <w:ind w:firstLine="480" w:firstLineChars="200"/>
              <w:jc w:val="left"/>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项目年运输原料为51万吨，运输车每次平均30t/辆，则日运输车辆出厂房时清洗车辆次数为57次。车辆进出须冲洗车轮，防止运输车携带粉尘出厂房，每辆车每次冲洗用水量为20L，则冲洗用水量为1.14t/d（342t/a），废水按0.8计算，则车辆冲洗水产生量为0.912t/d（273.6t/a）。类比同类项目，主要污染物为SS（300mg/l）,经15m</w:t>
            </w:r>
            <w:r>
              <w:rPr>
                <w:rFonts w:hint="eastAsia" w:ascii="Times New Roman" w:hAnsi="Times New Roman" w:eastAsia="宋体" w:cs="Times New Roman"/>
                <w:bCs/>
                <w:color w:val="auto"/>
                <w:kern w:val="44"/>
                <w:sz w:val="24"/>
                <w:szCs w:val="24"/>
                <w:vertAlign w:val="superscript"/>
                <w:lang w:val="en-US" w:eastAsia="zh-CN"/>
              </w:rPr>
              <w:t>3</w:t>
            </w:r>
            <w:r>
              <w:rPr>
                <w:rFonts w:hint="eastAsia" w:ascii="Times New Roman" w:hAnsi="Times New Roman" w:eastAsia="宋体" w:cs="Times New Roman"/>
                <w:bCs/>
                <w:color w:val="auto"/>
                <w:kern w:val="44"/>
                <w:sz w:val="24"/>
                <w:szCs w:val="24"/>
                <w:lang w:val="en-US" w:eastAsia="zh-CN"/>
              </w:rPr>
              <w:t>沉淀池沉淀处理后达到《城市污水再生利用城市杂用水水质》(GB/T18920-2020中车辆清洗用水标准回用于车辆冲洗，不外排，《城市污水再生利用城市杂用水水质》(GB/T18920-2020中车辆清洗用水标准对SS没有要求，只对BOD，氨氮有要求，本项目新鲜水来自市政供水，经过使用后BOD，氨氮浓度不发生重大改变，只改变SS，所以其可达《城市污水再生利用城市杂用水水质》(GB/T18920-2020中车辆清洗用水标准，企业定期补充车辆冲洗水即可，补水量为0.228t/d（68.4t/a）。本项目建设有洗车池对运输车辆进行冲洗。</w:t>
            </w:r>
          </w:p>
          <w:p>
            <w:pPr>
              <w:spacing w:line="360" w:lineRule="auto"/>
              <w:ind w:firstLine="480" w:firstLineChars="200"/>
              <w:jc w:val="left"/>
              <w:rPr>
                <w:rFonts w:hint="default"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（4）初期雨水</w:t>
            </w:r>
          </w:p>
          <w:p>
            <w:pPr>
              <w:spacing w:line="360" w:lineRule="auto"/>
              <w:ind w:firstLine="480" w:firstLineChars="200"/>
              <w:jc w:val="left"/>
              <w:rPr>
                <w:rFonts w:hint="eastAsia" w:ascii="Times New Roman" w:hAnsi="Times New Roman" w:eastAsia="宋体" w:cs="Times New Roman"/>
                <w:bCs/>
                <w:color w:val="FF0000"/>
                <w:kern w:val="44"/>
                <w:sz w:val="24"/>
                <w:szCs w:val="24"/>
                <w:lang w:val="en-US" w:eastAsia="zh-CN"/>
              </w:rPr>
            </w:pPr>
            <w:r>
              <w:rPr>
                <w:rFonts w:hint="eastAsia" w:ascii="Times New Roman" w:hAnsi="Times New Roman" w:eastAsia="宋体" w:cs="Times New Roman"/>
                <w:bCs/>
                <w:color w:val="FF0000"/>
                <w:kern w:val="44"/>
                <w:sz w:val="24"/>
                <w:szCs w:val="24"/>
                <w:lang w:val="en-US" w:eastAsia="zh-CN"/>
              </w:rPr>
              <w:t>项目全场采取雨污分流制。在降雨情况下场区易形成地表径流，雨水可能携带污染物排出场外。项目生产厂区为密闭厂房，原料输送过程中车辆加盖苫布，防止原料散落在厂房外。降雨天气下，初期雨水中主要污染物质为悬浮物。</w:t>
            </w:r>
            <w:r>
              <w:rPr>
                <w:rFonts w:hint="eastAsia" w:ascii="Times New Roman" w:hAnsi="Times New Roman" w:eastAsia="宋体" w:cs="Times New Roman"/>
                <w:color w:val="FF0000"/>
                <w:sz w:val="24"/>
                <w:lang w:val="en-US" w:eastAsia="zh-CN"/>
              </w:rPr>
              <w:t>初期雨水流入厂房西侧雨水收集池后通过水泵抽入厂房洗车池内暂存，沉淀后回用于车辆冲洗及厂区道路洒水抑尘。</w:t>
            </w:r>
            <w:r>
              <w:rPr>
                <w:rFonts w:hint="eastAsia" w:ascii="Times New Roman" w:hAnsi="Times New Roman" w:eastAsia="宋体" w:cs="Times New Roman"/>
                <w:bCs/>
                <w:color w:val="FF0000"/>
                <w:kern w:val="44"/>
                <w:sz w:val="24"/>
                <w:szCs w:val="24"/>
                <w:lang w:val="en-US" w:eastAsia="zh-CN"/>
              </w:rPr>
              <w:t>鉴于降雨为不确定性的一次污染源，本次评价仅针对其源强及治理措施进行分析，不计污染物产排情况。</w:t>
            </w:r>
          </w:p>
          <w:p>
            <w:pPr>
              <w:numPr>
                <w:ilvl w:val="0"/>
                <w:numId w:val="0"/>
              </w:numPr>
              <w:spacing w:line="480" w:lineRule="exact"/>
              <w:ind w:firstLine="480" w:firstLineChars="200"/>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根据《化学工业污水处理与回用设计规范》（GB50684-2011）、《化学建设项目环境保护工程设计标准》（GB/T 50483-2019）及《石油化工给水排水系统涉及规范》明确（SH/T 3015-2019）明确：</w:t>
            </w:r>
          </w:p>
          <w:p>
            <w:pPr>
              <w:numPr>
                <w:ilvl w:val="0"/>
                <w:numId w:val="0"/>
              </w:numPr>
              <w:spacing w:line="480" w:lineRule="exact"/>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初期污染污水量宜按以降雨初期污染雨水总量和调蓄设施的排空时间计算确定，宜采用下式计算：</w:t>
            </w:r>
          </w:p>
          <w:p>
            <w:pPr>
              <w:numPr>
                <w:ilvl w:val="0"/>
                <w:numId w:val="0"/>
              </w:numPr>
              <w:spacing w:line="360" w:lineRule="auto"/>
              <w:ind w:firstLine="420" w:firstLineChars="200"/>
              <w:jc w:val="center"/>
              <w:rPr>
                <w:color w:val="FF0000"/>
              </w:rPr>
            </w:pPr>
            <w:r>
              <w:rPr>
                <w:color w:val="FF0000"/>
              </w:rPr>
              <w:drawing>
                <wp:inline distT="0" distB="0" distL="114300" distR="114300">
                  <wp:extent cx="1504950" cy="52387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1504950" cy="523875"/>
                          </a:xfrm>
                          <a:prstGeom prst="rect">
                            <a:avLst/>
                          </a:prstGeom>
                          <a:noFill/>
                          <a:ln>
                            <a:noFill/>
                          </a:ln>
                        </pic:spPr>
                      </pic:pic>
                    </a:graphicData>
                  </a:graphic>
                </wp:inline>
              </w:drawing>
            </w:r>
          </w:p>
          <w:p>
            <w:pPr>
              <w:numPr>
                <w:ilvl w:val="0"/>
                <w:numId w:val="0"/>
              </w:numPr>
              <w:spacing w:line="480" w:lineRule="exact"/>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式中：</w:t>
            </w:r>
          </w:p>
          <w:p>
            <w:pPr>
              <w:numPr>
                <w:ilvl w:val="0"/>
                <w:numId w:val="0"/>
              </w:numPr>
              <w:spacing w:line="480" w:lineRule="exact"/>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qs--初期污染雨水量（m</w:t>
            </w:r>
            <w:r>
              <w:rPr>
                <w:rFonts w:hint="eastAsia" w:ascii="Times New Roman" w:hAnsi="Times New Roman" w:eastAsia="宋体" w:cs="Times New Roman"/>
                <w:color w:val="FF0000"/>
                <w:sz w:val="24"/>
                <w:vertAlign w:val="superscript"/>
                <w:lang w:val="en-US" w:eastAsia="zh-CN"/>
              </w:rPr>
              <w:t>3</w:t>
            </w:r>
            <w:r>
              <w:rPr>
                <w:rFonts w:hint="eastAsia" w:ascii="Times New Roman" w:hAnsi="Times New Roman" w:eastAsia="宋体" w:cs="Times New Roman"/>
                <w:color w:val="FF0000"/>
                <w:sz w:val="24"/>
                <w:lang w:val="en-US" w:eastAsia="zh-CN"/>
              </w:rPr>
              <w:t>/h）</w:t>
            </w:r>
          </w:p>
          <w:p>
            <w:pPr>
              <w:numPr>
                <w:ilvl w:val="0"/>
                <w:numId w:val="0"/>
              </w:numPr>
              <w:spacing w:line="480" w:lineRule="exact"/>
              <w:ind w:firstLine="480" w:firstLineChars="200"/>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Fs--污染区面积（m</w:t>
            </w:r>
            <w:r>
              <w:rPr>
                <w:rFonts w:hint="eastAsia" w:ascii="Times New Roman" w:hAnsi="Times New Roman" w:eastAsia="宋体" w:cs="Times New Roman"/>
                <w:color w:val="FF0000"/>
                <w:sz w:val="24"/>
                <w:vertAlign w:val="superscript"/>
                <w:lang w:val="en-US" w:eastAsia="zh-CN"/>
              </w:rPr>
              <w:t>3</w:t>
            </w:r>
            <w:r>
              <w:rPr>
                <w:rFonts w:hint="eastAsia" w:ascii="Times New Roman" w:hAnsi="Times New Roman" w:eastAsia="宋体" w:cs="Times New Roman"/>
                <w:color w:val="FF0000"/>
                <w:sz w:val="24"/>
                <w:lang w:val="en-US" w:eastAsia="zh-CN"/>
              </w:rPr>
              <w:t>），5280m</w:t>
            </w:r>
            <w:r>
              <w:rPr>
                <w:rFonts w:hint="eastAsia" w:ascii="Times New Roman" w:hAnsi="Times New Roman" w:eastAsia="宋体" w:cs="Times New Roman"/>
                <w:color w:val="FF0000"/>
                <w:sz w:val="24"/>
                <w:vertAlign w:val="superscript"/>
                <w:lang w:val="en-US" w:eastAsia="zh-CN"/>
              </w:rPr>
              <w:t>2</w:t>
            </w:r>
          </w:p>
          <w:p>
            <w:pPr>
              <w:numPr>
                <w:ilvl w:val="0"/>
                <w:numId w:val="0"/>
              </w:numPr>
              <w:spacing w:line="480" w:lineRule="exact"/>
              <w:ind w:firstLine="480" w:firstLineChars="200"/>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Hs--降雨深（mm），取15mm；</w:t>
            </w:r>
          </w:p>
          <w:p>
            <w:pPr>
              <w:numPr>
                <w:ilvl w:val="0"/>
                <w:numId w:val="0"/>
              </w:numPr>
              <w:spacing w:line="480" w:lineRule="exact"/>
              <w:ind w:firstLine="480" w:firstLineChars="200"/>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ts--初期污染雨水调蓄池排空时间（h），取1h。</w:t>
            </w:r>
          </w:p>
          <w:p>
            <w:pPr>
              <w:numPr>
                <w:ilvl w:val="0"/>
                <w:numId w:val="0"/>
              </w:numPr>
              <w:spacing w:line="480" w:lineRule="exact"/>
              <w:ind w:firstLine="480" w:firstLineChars="200"/>
              <w:rPr>
                <w:rFonts w:hint="default"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color w:val="FF0000"/>
                <w:sz w:val="24"/>
                <w:lang w:val="en-US" w:eastAsia="zh-CN"/>
              </w:rPr>
              <w:t>经计算，初期雨水量为79.2m</w:t>
            </w:r>
            <w:r>
              <w:rPr>
                <w:rFonts w:hint="eastAsia" w:ascii="Times New Roman" w:hAnsi="Times New Roman" w:eastAsia="宋体" w:cs="Times New Roman"/>
                <w:color w:val="FF0000"/>
                <w:sz w:val="24"/>
                <w:vertAlign w:val="superscript"/>
                <w:lang w:val="en-US" w:eastAsia="zh-CN"/>
              </w:rPr>
              <w:t>3</w:t>
            </w:r>
            <w:r>
              <w:rPr>
                <w:rFonts w:hint="eastAsia" w:ascii="Times New Roman" w:hAnsi="Times New Roman" w:eastAsia="宋体" w:cs="Times New Roman"/>
                <w:color w:val="FF0000"/>
                <w:sz w:val="24"/>
                <w:lang w:val="en-US" w:eastAsia="zh-CN"/>
              </w:rPr>
              <w:t>，项目初期雨水汇入厂房西侧雨水收集池后通过水泵抽入厂房洗车池内暂存，经沉淀后用于车辆冲洗和道路洒水抑尘。厂房洗车池占地面积为100m</w:t>
            </w:r>
            <w:r>
              <w:rPr>
                <w:rFonts w:hint="eastAsia" w:ascii="Times New Roman" w:hAnsi="Times New Roman" w:eastAsia="宋体" w:cs="Times New Roman"/>
                <w:color w:val="FF0000"/>
                <w:sz w:val="24"/>
                <w:vertAlign w:val="superscript"/>
                <w:lang w:val="en-US" w:eastAsia="zh-CN"/>
              </w:rPr>
              <w:t>2</w:t>
            </w:r>
            <w:r>
              <w:rPr>
                <w:rFonts w:hint="eastAsia" w:ascii="Times New Roman" w:hAnsi="Times New Roman" w:eastAsia="宋体" w:cs="Times New Roman"/>
                <w:color w:val="FF0000"/>
                <w:sz w:val="24"/>
                <w:lang w:val="en-US" w:eastAsia="zh-CN"/>
              </w:rPr>
              <w:t>，池体深度为1m，池容约为80-100m</w:t>
            </w:r>
            <w:r>
              <w:rPr>
                <w:rFonts w:hint="eastAsia" w:ascii="Times New Roman" w:hAnsi="Times New Roman" w:eastAsia="宋体" w:cs="Times New Roman"/>
                <w:color w:val="FF0000"/>
                <w:sz w:val="24"/>
                <w:vertAlign w:val="superscript"/>
                <w:lang w:val="en-US" w:eastAsia="zh-CN"/>
              </w:rPr>
              <w:t>3</w:t>
            </w:r>
            <w:r>
              <w:rPr>
                <w:rFonts w:hint="eastAsia" w:ascii="Times New Roman" w:hAnsi="Times New Roman" w:eastAsia="宋体" w:cs="Times New Roman"/>
                <w:color w:val="FF0000"/>
                <w:sz w:val="24"/>
                <w:vertAlign w:val="baseline"/>
                <w:lang w:val="en-US" w:eastAsia="zh-CN"/>
              </w:rPr>
              <w:t>，可容纳厂区初期雨水收集储存。</w:t>
            </w:r>
            <w:r>
              <w:rPr>
                <w:rFonts w:hint="eastAsia" w:ascii="Times New Roman" w:hAnsi="Times New Roman" w:eastAsia="宋体" w:cs="Times New Roman"/>
                <w:color w:val="FF0000"/>
                <w:sz w:val="24"/>
                <w:lang w:val="en-US" w:eastAsia="zh-CN"/>
              </w:rPr>
              <w:t>可满足项目初期雨水收集处理及储存要求。</w:t>
            </w:r>
          </w:p>
          <w:p>
            <w:pPr>
              <w:adjustRightInd w:val="0"/>
              <w:snapToGrid w:val="0"/>
              <w:spacing w:line="360" w:lineRule="auto"/>
              <w:ind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color w:val="auto"/>
                <w:kern w:val="0"/>
                <w:sz w:val="24"/>
                <w:szCs w:val="24"/>
              </w:rPr>
              <w:t>2、废水治理设施技术可行性分析</w:t>
            </w:r>
          </w:p>
          <w:p>
            <w:pPr>
              <w:spacing w:line="360" w:lineRule="auto"/>
              <w:ind w:firstLine="480" w:firstLineChars="200"/>
              <w:jc w:val="left"/>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（1）生活污水治理措施可行性分析</w:t>
            </w:r>
          </w:p>
          <w:p>
            <w:pPr>
              <w:spacing w:line="360" w:lineRule="auto"/>
              <w:ind w:firstLine="480" w:firstLineChars="200"/>
              <w:jc w:val="left"/>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项目生活污水经化粪池+隔油池预处理后排入奉新县高新技术产业园污水处理厂进行深度处理，尾水排入排至南潦河，对水环境影响较小。</w:t>
            </w:r>
          </w:p>
          <w:p>
            <w:pPr>
              <w:spacing w:line="360" w:lineRule="auto"/>
              <w:ind w:firstLine="480" w:firstLineChars="200"/>
              <w:jc w:val="left"/>
              <w:rPr>
                <w:rFonts w:hint="default" w:ascii="Times New Roman" w:hAnsi="Times New Roman" w:eastAsia="宋体" w:cs="Times New Roman"/>
                <w:bCs/>
                <w:color w:val="auto"/>
                <w:kern w:val="44"/>
                <w:sz w:val="24"/>
                <w:szCs w:val="24"/>
                <w:lang w:val="en-US" w:eastAsia="zh-CN"/>
              </w:rPr>
            </w:pPr>
            <w:r>
              <w:rPr>
                <w:rFonts w:hint="default" w:ascii="Times New Roman" w:hAnsi="Times New Roman" w:eastAsia="宋体" w:cs="Times New Roman"/>
                <w:color w:val="auto"/>
                <w:sz w:val="24"/>
                <w:szCs w:val="24"/>
                <w:lang w:eastAsia="zh-CN"/>
              </w:rPr>
              <w:t>根据“《排污许可证申请与核发技术规范总则》（HJ942-2018）中4.5.3.1”，生活污水防治工艺为“过滤、沉淀－活性污泥法、生物接触氧化、其他”等处理技术或其他。本项目</w:t>
            </w:r>
            <w:r>
              <w:rPr>
                <w:rFonts w:hint="default" w:ascii="Times New Roman" w:hAnsi="Times New Roman" w:eastAsia="宋体" w:cs="Times New Roman"/>
                <w:color w:val="auto"/>
                <w:sz w:val="24"/>
                <w:szCs w:val="24"/>
                <w:vertAlign w:val="baseline"/>
                <w:lang w:val="en-US" w:eastAsia="zh-CN"/>
              </w:rPr>
              <w:t>生活污水日产生量为</w:t>
            </w:r>
            <w:r>
              <w:rPr>
                <w:rFonts w:hint="eastAsia" w:ascii="Times New Roman" w:hAnsi="Times New Roman" w:cs="Times New Roman"/>
                <w:color w:val="auto"/>
                <w:sz w:val="24"/>
                <w:szCs w:val="24"/>
                <w:vertAlign w:val="baseline"/>
                <w:lang w:val="en-US" w:eastAsia="zh-CN"/>
              </w:rPr>
              <w:t>1.2</w:t>
            </w:r>
            <w:r>
              <w:rPr>
                <w:rFonts w:hint="default" w:ascii="Times New Roman" w:hAnsi="Times New Roman" w:eastAsia="宋体" w:cs="Times New Roman"/>
                <w:bCs/>
                <w:color w:val="auto"/>
                <w:kern w:val="44"/>
                <w:sz w:val="24"/>
                <w:szCs w:val="24"/>
              </w:rPr>
              <w:t>m</w:t>
            </w:r>
            <w:r>
              <w:rPr>
                <w:rFonts w:hint="default" w:ascii="Times New Roman" w:hAnsi="Times New Roman" w:eastAsia="宋体" w:cs="Times New Roman"/>
                <w:bCs/>
                <w:color w:val="auto"/>
                <w:kern w:val="44"/>
                <w:sz w:val="24"/>
                <w:szCs w:val="24"/>
                <w:vertAlign w:val="superscript"/>
              </w:rPr>
              <w:t>3</w:t>
            </w:r>
            <w:r>
              <w:rPr>
                <w:rFonts w:hint="default" w:ascii="Times New Roman" w:hAnsi="Times New Roman" w:eastAsia="宋体" w:cs="Times New Roman"/>
                <w:bCs/>
                <w:color w:val="auto"/>
                <w:kern w:val="44"/>
                <w:sz w:val="24"/>
                <w:szCs w:val="24"/>
              </w:rPr>
              <w:t>/d</w:t>
            </w:r>
            <w:r>
              <w:rPr>
                <w:rFonts w:hint="eastAsia" w:ascii="Times New Roman" w:hAnsi="Times New Roman" w:cs="Times New Roman"/>
                <w:bCs/>
                <w:color w:val="auto"/>
                <w:kern w:val="44"/>
                <w:sz w:val="24"/>
                <w:szCs w:val="24"/>
                <w:lang w:eastAsia="zh-CN"/>
              </w:rPr>
              <w:t>（</w:t>
            </w:r>
            <w:r>
              <w:rPr>
                <w:rFonts w:hint="eastAsia" w:ascii="Times New Roman" w:hAnsi="Times New Roman" w:cs="Times New Roman"/>
                <w:bCs/>
                <w:color w:val="auto"/>
                <w:kern w:val="44"/>
                <w:sz w:val="24"/>
                <w:szCs w:val="24"/>
                <w:lang w:val="en-US" w:eastAsia="zh-CN"/>
              </w:rPr>
              <w:t>360t/a</w:t>
            </w:r>
            <w:r>
              <w:rPr>
                <w:rFonts w:hint="eastAsia" w:ascii="Times New Roman" w:hAnsi="Times New Roman" w:cs="Times New Roman"/>
                <w:bCs/>
                <w:color w:val="auto"/>
                <w:kern w:val="44"/>
                <w:sz w:val="24"/>
                <w:szCs w:val="24"/>
                <w:lang w:eastAsia="zh-CN"/>
              </w:rPr>
              <w:t>）</w:t>
            </w:r>
            <w:r>
              <w:rPr>
                <w:rFonts w:hint="default" w:ascii="Times New Roman" w:hAnsi="Times New Roman" w:eastAsia="宋体" w:cs="Times New Roman"/>
                <w:bCs/>
                <w:color w:val="auto"/>
                <w:kern w:val="44"/>
                <w:sz w:val="24"/>
                <w:szCs w:val="24"/>
                <w:lang w:eastAsia="zh-CN"/>
              </w:rPr>
              <w:t>，</w:t>
            </w:r>
            <w:r>
              <w:rPr>
                <w:rFonts w:hint="eastAsia" w:ascii="Times New Roman" w:hAnsi="Times New Roman" w:cs="Times New Roman"/>
                <w:bCs/>
                <w:color w:val="auto"/>
                <w:kern w:val="44"/>
                <w:sz w:val="24"/>
                <w:szCs w:val="24"/>
                <w:lang w:eastAsia="zh-CN"/>
              </w:rPr>
              <w:t>远小于化粪池池容。</w:t>
            </w:r>
            <w:r>
              <w:rPr>
                <w:rFonts w:hint="default" w:ascii="Times New Roman" w:hAnsi="Times New Roman" w:eastAsia="宋体" w:cs="Times New Roman"/>
                <w:bCs/>
                <w:color w:val="auto"/>
                <w:kern w:val="44"/>
                <w:sz w:val="24"/>
                <w:szCs w:val="24"/>
                <w:lang w:eastAsia="zh-CN"/>
              </w:rPr>
              <w:t>由此计算，生活污水在化粪池中有足够的停留时间</w:t>
            </w:r>
            <w:r>
              <w:rPr>
                <w:rFonts w:hint="default" w:ascii="Times New Roman" w:hAnsi="Times New Roman" w:eastAsia="宋体" w:cs="Times New Roman"/>
                <w:bCs/>
                <w:color w:val="auto"/>
                <w:kern w:val="44"/>
                <w:sz w:val="24"/>
                <w:szCs w:val="24"/>
                <w:lang w:val="en-US" w:eastAsia="zh-CN"/>
              </w:rPr>
              <w:t>，生活污水日产生量不会对化粪池造成负荷。</w:t>
            </w:r>
            <w:r>
              <w:rPr>
                <w:rFonts w:hint="eastAsia" w:ascii="Times New Roman" w:hAnsi="Times New Roman" w:eastAsia="宋体" w:cs="Times New Roman"/>
                <w:bCs/>
                <w:color w:val="auto"/>
                <w:kern w:val="44"/>
                <w:sz w:val="24"/>
                <w:szCs w:val="24"/>
                <w:lang w:val="en-US" w:eastAsia="zh-CN"/>
              </w:rPr>
              <w:t>项目隔油池+化粪池预处理生活污水的措施可行。</w:t>
            </w:r>
          </w:p>
          <w:p>
            <w:pPr>
              <w:spacing w:line="360" w:lineRule="auto"/>
              <w:ind w:firstLine="480" w:firstLineChars="200"/>
              <w:jc w:val="left"/>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（2）奉新高新技术产业园污水处理厂接纳污水的可行性分析</w:t>
            </w:r>
          </w:p>
          <w:p>
            <w:pPr>
              <w:spacing w:line="360" w:lineRule="auto"/>
              <w:ind w:firstLine="480" w:firstLineChars="200"/>
              <w:jc w:val="left"/>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①污水处理能力</w:t>
            </w:r>
          </w:p>
          <w:p>
            <w:pPr>
              <w:spacing w:line="360" w:lineRule="auto"/>
              <w:ind w:firstLine="480" w:firstLineChars="200"/>
              <w:jc w:val="left"/>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项目生产厂房位于奉新县高新技术产业园区广源路618号陆丰管业厂区内，属于奉新高新技术产业园区污水处理厂服务范围内，项目生活污水经隔油池+化粪池预处理后通过生活区排口进园区污水管网入奉新高新技术产业园区污水处理厂，奉新高新技术产业园区污水处理厂处理规模为3.2万m</w:t>
            </w:r>
            <w:r>
              <w:rPr>
                <w:rFonts w:hint="eastAsia" w:ascii="Times New Roman" w:hAnsi="Times New Roman" w:eastAsia="宋体" w:cs="Times New Roman"/>
                <w:bCs/>
                <w:color w:val="auto"/>
                <w:kern w:val="44"/>
                <w:sz w:val="24"/>
                <w:szCs w:val="24"/>
                <w:vertAlign w:val="superscript"/>
                <w:lang w:val="en-US" w:eastAsia="zh-CN"/>
              </w:rPr>
              <w:t>3</w:t>
            </w:r>
            <w:r>
              <w:rPr>
                <w:rFonts w:hint="eastAsia" w:ascii="Times New Roman" w:hAnsi="Times New Roman" w:eastAsia="宋体" w:cs="Times New Roman"/>
                <w:bCs/>
                <w:color w:val="auto"/>
                <w:kern w:val="44"/>
                <w:sz w:val="24"/>
                <w:szCs w:val="24"/>
                <w:lang w:val="en-US" w:eastAsia="zh-CN"/>
              </w:rPr>
              <w:t>/d，厂区运营期的生活污水排放量约为1.2m</w:t>
            </w:r>
            <w:r>
              <w:rPr>
                <w:rFonts w:hint="eastAsia" w:ascii="Times New Roman" w:hAnsi="Times New Roman" w:eastAsia="宋体" w:cs="Times New Roman"/>
                <w:bCs/>
                <w:color w:val="auto"/>
                <w:kern w:val="44"/>
                <w:sz w:val="24"/>
                <w:szCs w:val="24"/>
                <w:vertAlign w:val="superscript"/>
                <w:lang w:val="en-US" w:eastAsia="zh-CN"/>
              </w:rPr>
              <w:t>3</w:t>
            </w:r>
            <w:r>
              <w:rPr>
                <w:rFonts w:hint="eastAsia" w:ascii="Times New Roman" w:hAnsi="Times New Roman" w:eastAsia="宋体" w:cs="Times New Roman"/>
                <w:bCs/>
                <w:color w:val="auto"/>
                <w:kern w:val="44"/>
                <w:sz w:val="24"/>
                <w:szCs w:val="24"/>
                <w:lang w:val="en-US" w:eastAsia="zh-CN"/>
              </w:rPr>
              <w:t>/d，仅占污水处理厂处理能力的0.0038%，对污水处理厂的处理负荷冲击很小。</w:t>
            </w:r>
          </w:p>
          <w:p>
            <w:pPr>
              <w:spacing w:line="360" w:lineRule="auto"/>
              <w:ind w:firstLine="480" w:firstLineChars="200"/>
              <w:jc w:val="left"/>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②管网铺设方面</w:t>
            </w:r>
          </w:p>
          <w:p>
            <w:pPr>
              <w:spacing w:line="360" w:lineRule="auto"/>
              <w:ind w:firstLine="480" w:firstLineChars="200"/>
              <w:jc w:val="left"/>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奉新高新技术产业园区污水处理厂服务范围包括奉新高新技术产业园区规划范围内的一般工业废水和生活污水。本项目位于奉新高新技术产业园区冯田片区陆丰管业厂区内，处于奉新高新技术产业园区污水处理厂服务范围之内，而且项目废水水质能满足奉新高新技术产业园区污水处理厂接管标准，因此项目生活污水排入奉新高新技术产业园区污水处理厂进一步处理是可行的。因此，本项目废水治理措施可行。</w:t>
            </w:r>
          </w:p>
          <w:p>
            <w:pPr>
              <w:spacing w:line="360" w:lineRule="auto"/>
              <w:ind w:firstLine="480" w:firstLineChars="200"/>
              <w:jc w:val="left"/>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③水质方面</w:t>
            </w:r>
          </w:p>
          <w:p>
            <w:pPr>
              <w:spacing w:line="360" w:lineRule="auto"/>
              <w:ind w:firstLine="480" w:firstLineChars="200"/>
              <w:jc w:val="left"/>
              <w:rPr>
                <w:rFonts w:hint="eastAsia"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项目废水属于可生化性废水，其主要污染物为pH、CODcr、BOD</w:t>
            </w:r>
            <w:r>
              <w:rPr>
                <w:rFonts w:hint="eastAsia" w:ascii="Times New Roman" w:hAnsi="Times New Roman" w:eastAsia="宋体" w:cs="Times New Roman"/>
                <w:bCs/>
                <w:color w:val="auto"/>
                <w:kern w:val="44"/>
                <w:sz w:val="24"/>
                <w:szCs w:val="24"/>
                <w:vertAlign w:val="subscript"/>
                <w:lang w:val="en-US" w:eastAsia="zh-CN"/>
              </w:rPr>
              <w:t>5</w:t>
            </w:r>
            <w:r>
              <w:rPr>
                <w:rFonts w:hint="eastAsia" w:ascii="Times New Roman" w:hAnsi="Times New Roman" w:eastAsia="宋体" w:cs="Times New Roman"/>
                <w:bCs/>
                <w:color w:val="auto"/>
                <w:kern w:val="44"/>
                <w:sz w:val="24"/>
                <w:szCs w:val="24"/>
                <w:lang w:val="en-US" w:eastAsia="zh-CN"/>
              </w:rPr>
              <w:t>、SS、NH</w:t>
            </w:r>
            <w:r>
              <w:rPr>
                <w:rFonts w:hint="eastAsia" w:ascii="Times New Roman" w:hAnsi="Times New Roman" w:eastAsia="宋体" w:cs="Times New Roman"/>
                <w:bCs/>
                <w:color w:val="auto"/>
                <w:kern w:val="44"/>
                <w:sz w:val="24"/>
                <w:szCs w:val="24"/>
                <w:vertAlign w:val="subscript"/>
                <w:lang w:val="en-US" w:eastAsia="zh-CN"/>
              </w:rPr>
              <w:t>3</w:t>
            </w:r>
            <w:r>
              <w:rPr>
                <w:rFonts w:hint="eastAsia" w:ascii="Times New Roman" w:hAnsi="Times New Roman" w:eastAsia="宋体" w:cs="Times New Roman"/>
                <w:bCs/>
                <w:color w:val="auto"/>
                <w:kern w:val="44"/>
                <w:sz w:val="24"/>
                <w:szCs w:val="24"/>
                <w:lang w:val="en-US" w:eastAsia="zh-CN"/>
              </w:rPr>
              <w:t>-N、动植物油，通过厂内预处理后可达到污水处理厂的接管标准，且项目废水不含有毒有害物质，不会对污水处理厂处理工艺造成影响，因此项目废水水质适用于污水处理厂处理工艺，从水质角度来看，污水处理厂也可以接纳本项目废水。处理达标后尾水排放执行《城镇污水处理厂污染物排放标准》（GB18918-2002）中一级A标准后排入南潦河，对周边水环境产生影响很小。因此，项目废水进入园区污水处理厂处理是可行的。</w:t>
            </w:r>
          </w:p>
          <w:p>
            <w:pPr>
              <w:spacing w:line="360" w:lineRule="auto"/>
              <w:ind w:firstLine="480" w:firstLineChars="200"/>
              <w:jc w:val="left"/>
              <w:rPr>
                <w:rFonts w:hint="default" w:ascii="Times New Roman" w:hAnsi="Times New Roman" w:eastAsia="宋体" w:cs="Times New Roman"/>
                <w:bCs/>
                <w:color w:val="auto"/>
                <w:kern w:val="44"/>
                <w:sz w:val="24"/>
                <w:szCs w:val="24"/>
                <w:lang w:val="en-US" w:eastAsia="zh-CN"/>
              </w:rPr>
            </w:pPr>
            <w:r>
              <w:rPr>
                <w:rFonts w:hint="eastAsia" w:ascii="Times New Roman" w:hAnsi="Times New Roman" w:eastAsia="宋体" w:cs="Times New Roman"/>
                <w:bCs/>
                <w:color w:val="auto"/>
                <w:kern w:val="44"/>
                <w:sz w:val="24"/>
                <w:szCs w:val="24"/>
                <w:lang w:val="en-US" w:eastAsia="zh-CN"/>
              </w:rPr>
              <w:t>综上，本项目废水经分类收集，采取妥善处理后，能够满足国家相应排放标准要，项目废水处理措施是可行的。</w:t>
            </w:r>
          </w:p>
          <w:p>
            <w:pPr>
              <w:adjustRightInd w:val="0"/>
              <w:snapToGrid w:val="0"/>
              <w:spacing w:line="360" w:lineRule="auto"/>
              <w:ind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color w:val="auto"/>
                <w:kern w:val="0"/>
                <w:sz w:val="24"/>
                <w:szCs w:val="24"/>
              </w:rPr>
              <w:t>3、废水监测要求</w:t>
            </w:r>
          </w:p>
          <w:p>
            <w:pPr>
              <w:adjustRightInd w:val="0"/>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根据《排污单位自行检测技术指南 总则》（HJ819-2017）、《排污许可证申请与核发技术规范 总则》（HJ942-2018）及《排污许可证申请与核发技术规范 石墨及其他非金属矿物制品制造》（HJ1119-2020），本项目废水自行监测点位、监测指标及最低监测频次如下表所示</w:t>
            </w:r>
            <w:r>
              <w:rPr>
                <w:rFonts w:hint="eastAsia" w:ascii="Times New Roman" w:hAnsi="Times New Roman" w:cs="Times New Roman"/>
                <w:color w:val="auto"/>
                <w:sz w:val="24"/>
                <w:szCs w:val="24"/>
                <w:lang w:val="en-US" w:eastAsia="zh-CN"/>
              </w:rPr>
              <w:t>。</w:t>
            </w:r>
          </w:p>
          <w:p>
            <w:pPr>
              <w:pStyle w:val="34"/>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表4-8 废水自行检测点位、监测指标及最低监测频次一览表</w:t>
            </w:r>
          </w:p>
          <w:tbl>
            <w:tblPr>
              <w:tblStyle w:val="58"/>
              <w:tblW w:w="11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6177"/>
              <w:gridCol w:w="3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19" w:type="dxa"/>
                  <w:vMerge w:val="restart"/>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vertAlign w:val="baseline"/>
                      <w:lang w:val="en-US" w:eastAsia="zh-CN"/>
                    </w:rPr>
                  </w:pPr>
                  <w:r>
                    <w:rPr>
                      <w:rFonts w:hint="eastAsia"/>
                      <w:vertAlign w:val="baseline"/>
                      <w:lang w:val="en-US" w:eastAsia="zh-CN"/>
                    </w:rPr>
                    <w:t>监测点位</w:t>
                  </w:r>
                </w:p>
              </w:tc>
              <w:tc>
                <w:tcPr>
                  <w:tcW w:w="6177" w:type="dxa"/>
                  <w:vMerge w:val="restart"/>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s="Times New Roman"/>
                      <w:vertAlign w:val="baseline"/>
                      <w:lang w:val="en-US" w:eastAsia="zh-CN"/>
                    </w:rPr>
                  </w:pPr>
                  <w:r>
                    <w:rPr>
                      <w:rFonts w:hint="eastAsia" w:eastAsia="宋体" w:cs="Times New Roman"/>
                      <w:vertAlign w:val="baseline"/>
                      <w:lang w:val="en-US" w:eastAsia="zh-CN"/>
                    </w:rPr>
                    <w:t>监测指标</w:t>
                  </w:r>
                </w:p>
              </w:tc>
              <w:tc>
                <w:tcPr>
                  <w:tcW w:w="3709" w:type="dxa"/>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s="Times New Roman"/>
                      <w:color w:val="FF0000"/>
                      <w:vertAlign w:val="baseline"/>
                      <w:lang w:val="en-US" w:eastAsia="zh-CN"/>
                    </w:rPr>
                  </w:pPr>
                  <w:r>
                    <w:rPr>
                      <w:rFonts w:hint="eastAsia" w:eastAsia="宋体" w:cs="Times New Roman"/>
                      <w:color w:val="FF0000"/>
                      <w:vertAlign w:val="baseline"/>
                      <w:lang w:val="en-US" w:eastAsia="zh-CN"/>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919" w:type="dxa"/>
                  <w:vMerge w:val="continue"/>
                  <w:vAlign w:val="center"/>
                </w:tcPr>
                <w:p>
                  <w:pPr>
                    <w:pStyle w:val="35"/>
                    <w:keepNext w:val="0"/>
                    <w:keepLines w:val="0"/>
                    <w:pageBreakBefore w:val="0"/>
                    <w:widowControl w:val="0"/>
                    <w:kinsoku/>
                    <w:wordWrap/>
                    <w:overflowPunct/>
                    <w:topLinePunct w:val="0"/>
                    <w:autoSpaceDE/>
                    <w:autoSpaceDN/>
                    <w:bidi w:val="0"/>
                    <w:adjustRightInd/>
                    <w:snapToGrid/>
                    <w:spacing w:after="0"/>
                    <w:jc w:val="center"/>
                    <w:textAlignment w:val="auto"/>
                  </w:pPr>
                </w:p>
              </w:tc>
              <w:tc>
                <w:tcPr>
                  <w:tcW w:w="6177" w:type="dxa"/>
                  <w:vMerge w:val="continue"/>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s="Times New Roman"/>
                      <w:vertAlign w:val="baseline"/>
                      <w:lang w:val="en-US" w:eastAsia="zh-CN"/>
                    </w:rPr>
                  </w:pPr>
                </w:p>
              </w:tc>
              <w:tc>
                <w:tcPr>
                  <w:tcW w:w="3709" w:type="dxa"/>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s="Times New Roman"/>
                      <w:color w:val="FF0000"/>
                      <w:vertAlign w:val="baseline"/>
                      <w:lang w:val="en-US" w:eastAsia="zh-CN"/>
                    </w:rPr>
                  </w:pPr>
                  <w:r>
                    <w:rPr>
                      <w:rFonts w:hint="eastAsia" w:eastAsia="宋体" w:cs="Times New Roman"/>
                      <w:color w:val="FF0000"/>
                      <w:vertAlign w:val="baseline"/>
                      <w:lang w:val="en-US" w:eastAsia="zh-CN"/>
                    </w:rPr>
                    <w:t>非重点排污单位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9" w:type="dxa"/>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s="Times New Roman"/>
                      <w:vertAlign w:val="baseline"/>
                      <w:lang w:val="en-US" w:eastAsia="zh-CN"/>
                    </w:rPr>
                  </w:pPr>
                  <w:r>
                    <w:rPr>
                      <w:rFonts w:hint="eastAsia" w:cs="Times New Roman"/>
                      <w:vertAlign w:val="baseline"/>
                      <w:lang w:val="en-US" w:eastAsia="zh-CN"/>
                    </w:rPr>
                    <w:t>DW001</w:t>
                  </w:r>
                </w:p>
              </w:tc>
              <w:tc>
                <w:tcPr>
                  <w:tcW w:w="6177" w:type="dxa"/>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s="Times New Roman"/>
                      <w:vertAlign w:val="baseline"/>
                      <w:lang w:val="en-US" w:eastAsia="zh-CN"/>
                    </w:rPr>
                  </w:pPr>
                  <w:r>
                    <w:rPr>
                      <w:rFonts w:hint="eastAsia" w:eastAsia="宋体" w:cs="Times New Roman"/>
                      <w:vertAlign w:val="baseline"/>
                      <w:lang w:val="en-US" w:eastAsia="zh-CN"/>
                    </w:rPr>
                    <w:t>pH值、SS、COD、BOD5、氨氮、总氮、总磷、动植物油</w:t>
                  </w:r>
                </w:p>
              </w:tc>
              <w:tc>
                <w:tcPr>
                  <w:tcW w:w="3709" w:type="dxa"/>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s="Times New Roman"/>
                      <w:color w:val="FF0000"/>
                      <w:vertAlign w:val="baseline"/>
                      <w:lang w:val="en-US" w:eastAsia="zh-CN"/>
                    </w:rPr>
                  </w:pPr>
                  <w:r>
                    <w:rPr>
                      <w:rFonts w:hint="eastAsia" w:cs="Times New Roman"/>
                      <w:color w:val="FF0000"/>
                      <w:vertAlign w:val="baseline"/>
                      <w:lang w:val="en-US" w:eastAsia="zh-CN"/>
                    </w:rPr>
                    <w:t>年</w:t>
                  </w:r>
                </w:p>
              </w:tc>
            </w:tr>
          </w:tbl>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三、噪声</w:t>
            </w:r>
          </w:p>
          <w:p>
            <w:pPr>
              <w:pStyle w:val="145"/>
              <w:kinsoku w:val="0"/>
              <w:overflowPunct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（1）源强核算及治理措施</w:t>
            </w:r>
          </w:p>
          <w:p>
            <w:pPr>
              <w:pStyle w:val="75"/>
              <w:ind w:left="0" w:leftChars="0" w:firstLine="480" w:firstLineChars="200"/>
              <w:rPr>
                <w:rFonts w:hint="eastAsia" w:ascii="Times New Roman" w:hAnsi="Times New Roman" w:cs="Times New Roman"/>
                <w:color w:val="FF0000"/>
                <w:sz w:val="24"/>
                <w:szCs w:val="24"/>
                <w:lang w:eastAsia="zh-CN"/>
              </w:rPr>
            </w:pPr>
            <w:r>
              <w:rPr>
                <w:rFonts w:hint="eastAsia" w:ascii="Times New Roman" w:hAnsi="Times New Roman" w:eastAsia="宋体" w:cs="Times New Roman"/>
                <w:color w:val="FF0000"/>
                <w:sz w:val="24"/>
                <w:szCs w:val="24"/>
                <w:lang w:eastAsia="zh-CN"/>
              </w:rPr>
              <w:t>项目</w:t>
            </w:r>
            <w:r>
              <w:rPr>
                <w:rFonts w:hint="eastAsia" w:ascii="Times New Roman" w:hAnsi="Times New Roman" w:cs="Times New Roman"/>
                <w:color w:val="FF0000"/>
                <w:sz w:val="24"/>
                <w:szCs w:val="24"/>
                <w:lang w:eastAsia="zh-CN"/>
              </w:rPr>
              <w:t>噪声来源分为室内声源及室外声源两种。经业主方核实，本项目无</w:t>
            </w:r>
            <w:r>
              <w:rPr>
                <w:rFonts w:hint="eastAsia" w:ascii="Times New Roman" w:hAnsi="Times New Roman" w:eastAsia="宋体" w:cs="Times New Roman"/>
                <w:color w:val="FF0000"/>
                <w:sz w:val="24"/>
                <w:szCs w:val="24"/>
                <w:lang w:eastAsia="zh-CN"/>
              </w:rPr>
              <w:t>室外噪声源</w:t>
            </w:r>
            <w:r>
              <w:rPr>
                <w:rFonts w:hint="eastAsia" w:ascii="Times New Roman" w:hAnsi="Times New Roman" w:cs="Times New Roman"/>
                <w:color w:val="FF0000"/>
                <w:sz w:val="24"/>
                <w:szCs w:val="24"/>
                <w:lang w:eastAsia="zh-CN"/>
              </w:rPr>
              <w:t>，项目风机为设备自带风机位于生产厂房内。</w:t>
            </w:r>
          </w:p>
          <w:p>
            <w:pPr>
              <w:pStyle w:val="75"/>
              <w:ind w:left="0" w:leftChars="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本项目室内声源</w:t>
            </w:r>
            <w:r>
              <w:rPr>
                <w:rFonts w:hint="default" w:ascii="Times New Roman" w:hAnsi="Times New Roman" w:eastAsia="宋体" w:cs="Times New Roman"/>
                <w:color w:val="000000" w:themeColor="text1"/>
                <w:sz w:val="24"/>
                <w:szCs w:val="24"/>
                <w:lang w:eastAsia="zh-CN"/>
                <w14:textFill>
                  <w14:solidFill>
                    <w14:schemeClr w14:val="tx1"/>
                  </w14:solidFill>
                </w14:textFill>
              </w:rPr>
              <w:t>有</w:t>
            </w:r>
            <w:r>
              <w:rPr>
                <w:rFonts w:hint="eastAsia" w:ascii="Times New Roman" w:hAnsi="Times New Roman" w:cs="Times New Roman"/>
                <w:color w:val="000000" w:themeColor="text1"/>
                <w:sz w:val="24"/>
                <w:szCs w:val="24"/>
                <w:lang w:eastAsia="zh-CN"/>
                <w14:textFill>
                  <w14:solidFill>
                    <w14:schemeClr w14:val="tx1"/>
                  </w14:solidFill>
                </w14:textFill>
              </w:rPr>
              <w:t>斗式提升机、螺旋输送机、螺杆式压缩机、磨粉机、打包机、破碎机及除尘设备风机</w:t>
            </w:r>
            <w:r>
              <w:rPr>
                <w:rFonts w:hint="default" w:ascii="Times New Roman" w:hAnsi="Times New Roman" w:eastAsia="宋体" w:cs="Times New Roman"/>
                <w:color w:val="000000" w:themeColor="text1"/>
                <w:sz w:val="24"/>
                <w:szCs w:val="24"/>
                <w:lang w:eastAsia="zh-CN"/>
                <w14:textFill>
                  <w14:solidFill>
                    <w14:schemeClr w14:val="tx1"/>
                  </w14:solidFill>
                </w14:textFill>
              </w:rPr>
              <w:t>等，噪声强度约</w:t>
            </w:r>
            <w:r>
              <w:rPr>
                <w:rFonts w:hint="eastAsia" w:ascii="Times New Roman" w:hAnsi="Times New Roman" w:cs="Times New Roman"/>
                <w:color w:val="000000" w:themeColor="text1"/>
                <w:sz w:val="24"/>
                <w:szCs w:val="24"/>
                <w:lang w:val="en-US" w:eastAsia="zh-CN"/>
                <w14:textFill>
                  <w14:solidFill>
                    <w14:schemeClr w14:val="tx1"/>
                  </w14:solidFill>
                </w14:textFill>
              </w:rPr>
              <w:t>65~80</w:t>
            </w:r>
            <w:r>
              <w:rPr>
                <w:rFonts w:hint="default" w:ascii="Times New Roman" w:hAnsi="Times New Roman" w:eastAsia="宋体" w:cs="Times New Roman"/>
                <w:color w:val="000000" w:themeColor="text1"/>
                <w:sz w:val="24"/>
                <w:szCs w:val="24"/>
                <w:lang w:eastAsia="zh-CN"/>
                <w14:textFill>
                  <w14:solidFill>
                    <w14:schemeClr w14:val="tx1"/>
                  </w14:solidFill>
                </w14:textFill>
              </w:rPr>
              <w:t>dB(A)。噪声源强见</w:t>
            </w:r>
            <w:r>
              <w:rPr>
                <w:rFonts w:hint="eastAsia" w:ascii="Times New Roman" w:hAnsi="Times New Roman" w:cs="Times New Roman"/>
                <w:color w:val="000000" w:themeColor="text1"/>
                <w:sz w:val="24"/>
                <w:szCs w:val="24"/>
                <w:lang w:eastAsia="zh-CN"/>
                <w14:textFill>
                  <w14:solidFill>
                    <w14:schemeClr w14:val="tx1"/>
                  </w14:solidFill>
                </w14:textFill>
              </w:rPr>
              <w:t>下表</w:t>
            </w:r>
            <w:r>
              <w:rPr>
                <w:rFonts w:hint="default" w:ascii="Times New Roman" w:hAnsi="Times New Roman" w:eastAsia="宋体" w:cs="Times New Roman"/>
                <w:color w:val="000000" w:themeColor="text1"/>
                <w:sz w:val="24"/>
                <w:szCs w:val="24"/>
                <w:lang w:eastAsia="zh-CN"/>
                <w14:textFill>
                  <w14:solidFill>
                    <w14:schemeClr w14:val="tx1"/>
                  </w14:solidFill>
                </w14:textFill>
              </w:rPr>
              <w:t>。噪声控制措施主要为：采取隔音措施，将高噪声设备置于室内，安装隔音门窗，此外，采取减振消声装置。</w:t>
            </w:r>
          </w:p>
          <w:p>
            <w:pPr>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表4-</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9 </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color w:val="000000" w:themeColor="text1"/>
                <w:kern w:val="0"/>
                <w:sz w:val="22"/>
                <w:szCs w:val="21"/>
                <w:highlight w:val="none"/>
                <w14:textFill>
                  <w14:solidFill>
                    <w14:schemeClr w14:val="tx1"/>
                  </w14:solidFill>
                </w14:textFill>
              </w:rPr>
              <w:t>噪声源强调查清单</w:t>
            </w:r>
          </w:p>
          <w:tbl>
            <w:tblPr>
              <w:tblStyle w:val="57"/>
              <w:tblW w:w="11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553"/>
              <w:gridCol w:w="1684"/>
              <w:gridCol w:w="821"/>
              <w:gridCol w:w="1064"/>
              <w:gridCol w:w="841"/>
              <w:gridCol w:w="876"/>
              <w:gridCol w:w="914"/>
              <w:gridCol w:w="1090"/>
              <w:gridCol w:w="578"/>
              <w:gridCol w:w="931"/>
              <w:gridCol w:w="912"/>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0" w:type="dxa"/>
                  <w:vMerge w:val="restart"/>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序号</w:t>
                  </w:r>
                </w:p>
              </w:tc>
              <w:tc>
                <w:tcPr>
                  <w:tcW w:w="553" w:type="dxa"/>
                  <w:vMerge w:val="restart"/>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建筑物</w:t>
                  </w:r>
                </w:p>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名称</w:t>
                  </w:r>
                </w:p>
              </w:tc>
              <w:tc>
                <w:tcPr>
                  <w:tcW w:w="1684" w:type="dxa"/>
                  <w:vMerge w:val="restart"/>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声源名称</w:t>
                  </w:r>
                </w:p>
              </w:tc>
              <w:tc>
                <w:tcPr>
                  <w:tcW w:w="821" w:type="dxa"/>
                  <w:vMerge w:val="restart"/>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数量（台套）</w:t>
                  </w:r>
                </w:p>
              </w:tc>
              <w:tc>
                <w:tcPr>
                  <w:tcW w:w="1905" w:type="dxa"/>
                  <w:gridSpan w:val="2"/>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声源源强</w:t>
                  </w:r>
                </w:p>
              </w:tc>
              <w:tc>
                <w:tcPr>
                  <w:tcW w:w="876" w:type="dxa"/>
                  <w:vMerge w:val="restart"/>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声源控制措施</w:t>
                  </w:r>
                </w:p>
              </w:tc>
              <w:tc>
                <w:tcPr>
                  <w:tcW w:w="914" w:type="dxa"/>
                  <w:vMerge w:val="restart"/>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距室内边界距离/m</w:t>
                  </w:r>
                </w:p>
              </w:tc>
              <w:tc>
                <w:tcPr>
                  <w:tcW w:w="1090" w:type="dxa"/>
                  <w:vMerge w:val="restart"/>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FF0000"/>
                      <w:kern w:val="0"/>
                      <w:sz w:val="21"/>
                      <w:szCs w:val="21"/>
                      <w:highlight w:val="none"/>
                      <w:lang w:eastAsia="zh-CN"/>
                    </w:rPr>
                  </w:pPr>
                  <w:r>
                    <w:rPr>
                      <w:rFonts w:hint="default" w:ascii="Times New Roman" w:hAnsi="Times New Roman" w:eastAsia="宋体" w:cs="Times New Roman"/>
                      <w:b/>
                      <w:bCs/>
                      <w:color w:val="FF0000"/>
                      <w:kern w:val="0"/>
                      <w:sz w:val="21"/>
                      <w:szCs w:val="21"/>
                      <w:highlight w:val="none"/>
                    </w:rPr>
                    <w:t>室内边界声</w:t>
                  </w:r>
                  <w:r>
                    <w:rPr>
                      <w:rFonts w:hint="eastAsia" w:ascii="Times New Roman" w:hAnsi="Times New Roman" w:eastAsia="宋体" w:cs="Times New Roman"/>
                      <w:b/>
                      <w:bCs/>
                      <w:color w:val="FF0000"/>
                      <w:kern w:val="0"/>
                      <w:sz w:val="21"/>
                      <w:szCs w:val="21"/>
                      <w:highlight w:val="none"/>
                      <w:lang w:eastAsia="zh-CN"/>
                    </w:rPr>
                    <w:t>压</w:t>
                  </w:r>
                  <w:r>
                    <w:rPr>
                      <w:rFonts w:hint="default" w:ascii="Times New Roman" w:hAnsi="Times New Roman" w:eastAsia="宋体" w:cs="Times New Roman"/>
                      <w:b/>
                      <w:bCs/>
                      <w:color w:val="FF0000"/>
                      <w:kern w:val="0"/>
                      <w:sz w:val="21"/>
                      <w:szCs w:val="21"/>
                      <w:highlight w:val="none"/>
                    </w:rPr>
                    <w:t>级</w:t>
                  </w:r>
                </w:p>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FF0000"/>
                      <w:kern w:val="0"/>
                      <w:sz w:val="21"/>
                      <w:szCs w:val="21"/>
                      <w:highlight w:val="none"/>
                    </w:rPr>
                    <w:t>/dB(A)</w:t>
                  </w:r>
                </w:p>
              </w:tc>
              <w:tc>
                <w:tcPr>
                  <w:tcW w:w="578" w:type="dxa"/>
                  <w:vMerge w:val="restart"/>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运行时段</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h</w:t>
                  </w:r>
                </w:p>
              </w:tc>
              <w:tc>
                <w:tcPr>
                  <w:tcW w:w="931" w:type="dxa"/>
                  <w:vMerge w:val="restart"/>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建筑物插入损</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失</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/dB(A)</w:t>
                  </w:r>
                </w:p>
              </w:tc>
              <w:tc>
                <w:tcPr>
                  <w:tcW w:w="1898" w:type="dxa"/>
                  <w:gridSpan w:val="2"/>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0" w:type="dxa"/>
                  <w:vMerge w:val="continue"/>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553" w:type="dxa"/>
                  <w:vMerge w:val="continue"/>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684" w:type="dxa"/>
                  <w:vMerge w:val="continue"/>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821" w:type="dxa"/>
                  <w:vMerge w:val="continue"/>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064" w:type="dxa"/>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FF0000"/>
                      <w:kern w:val="0"/>
                      <w:sz w:val="21"/>
                      <w:szCs w:val="21"/>
                      <w:highlight w:val="none"/>
                    </w:rPr>
                  </w:pPr>
                  <w:r>
                    <w:rPr>
                      <w:rFonts w:hint="default" w:ascii="Times New Roman" w:hAnsi="Times New Roman" w:eastAsia="宋体" w:cs="Times New Roman"/>
                      <w:b/>
                      <w:bCs/>
                      <w:color w:val="FF0000"/>
                      <w:kern w:val="0"/>
                      <w:sz w:val="21"/>
                      <w:szCs w:val="21"/>
                      <w:highlight w:val="none"/>
                      <w:lang w:eastAsia="zh-CN"/>
                    </w:rPr>
                    <w:t>单台</w:t>
                  </w:r>
                  <w:r>
                    <w:rPr>
                      <w:rFonts w:hint="default" w:ascii="Times New Roman" w:hAnsi="Times New Roman" w:eastAsia="宋体" w:cs="Times New Roman"/>
                      <w:b/>
                      <w:bCs/>
                      <w:color w:val="FF0000"/>
                      <w:kern w:val="0"/>
                      <w:sz w:val="21"/>
                      <w:szCs w:val="21"/>
                      <w:highlight w:val="none"/>
                    </w:rPr>
                    <w:t>声功率级/dB(A)</w:t>
                  </w:r>
                </w:p>
              </w:tc>
              <w:tc>
                <w:tcPr>
                  <w:tcW w:w="841" w:type="dxa"/>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FF0000"/>
                      <w:kern w:val="0"/>
                      <w:sz w:val="21"/>
                      <w:szCs w:val="21"/>
                      <w:highlight w:val="none"/>
                    </w:rPr>
                  </w:pPr>
                  <w:r>
                    <w:rPr>
                      <w:rFonts w:hint="default" w:ascii="Times New Roman" w:hAnsi="Times New Roman" w:eastAsia="宋体" w:cs="Times New Roman"/>
                      <w:b/>
                      <w:bCs/>
                      <w:color w:val="FF0000"/>
                      <w:kern w:val="0"/>
                      <w:sz w:val="21"/>
                      <w:szCs w:val="21"/>
                      <w:highlight w:val="none"/>
                    </w:rPr>
                    <w:t>声功率级/dB(A)</w:t>
                  </w:r>
                </w:p>
              </w:tc>
              <w:tc>
                <w:tcPr>
                  <w:tcW w:w="876" w:type="dxa"/>
                  <w:vMerge w:val="continue"/>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FF0000"/>
                      <w:kern w:val="0"/>
                      <w:sz w:val="21"/>
                      <w:szCs w:val="21"/>
                      <w:highlight w:val="none"/>
                    </w:rPr>
                  </w:pPr>
                </w:p>
              </w:tc>
              <w:tc>
                <w:tcPr>
                  <w:tcW w:w="914" w:type="dxa"/>
                  <w:vMerge w:val="continue"/>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FF0000"/>
                      <w:kern w:val="0"/>
                      <w:sz w:val="21"/>
                      <w:szCs w:val="21"/>
                      <w:highlight w:val="none"/>
                    </w:rPr>
                  </w:pPr>
                </w:p>
              </w:tc>
              <w:tc>
                <w:tcPr>
                  <w:tcW w:w="1090" w:type="dxa"/>
                  <w:vMerge w:val="continue"/>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578" w:type="dxa"/>
                  <w:vMerge w:val="continue"/>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931" w:type="dxa"/>
                  <w:vMerge w:val="continue"/>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912" w:type="dxa"/>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FF0000"/>
                      <w:kern w:val="0"/>
                      <w:sz w:val="21"/>
                      <w:szCs w:val="21"/>
                      <w:highlight w:val="none"/>
                      <w:lang w:eastAsia="zh-CN"/>
                    </w:rPr>
                  </w:pPr>
                  <w:r>
                    <w:rPr>
                      <w:rFonts w:hint="default" w:ascii="Times New Roman" w:hAnsi="Times New Roman" w:eastAsia="宋体" w:cs="Times New Roman"/>
                      <w:b/>
                      <w:bCs/>
                      <w:color w:val="FF0000"/>
                      <w:kern w:val="0"/>
                      <w:sz w:val="21"/>
                      <w:szCs w:val="21"/>
                      <w:highlight w:val="none"/>
                    </w:rPr>
                    <w:t>声压级</w:t>
                  </w:r>
                </w:p>
                <w:p>
                  <w:pPr>
                    <w:widowControl/>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FF0000"/>
                      <w:kern w:val="0"/>
                      <w:sz w:val="21"/>
                      <w:szCs w:val="21"/>
                      <w:highlight w:val="none"/>
                    </w:rPr>
                    <w:t>/dB(A)</w:t>
                  </w:r>
                </w:p>
              </w:tc>
              <w:tc>
                <w:tcPr>
                  <w:tcW w:w="986" w:type="dxa"/>
                  <w:tcBorders>
                    <w:tl2br w:val="nil"/>
                    <w:tr2bl w:val="nil"/>
                  </w:tcBorders>
                  <w:shd w:val="clear" w:color="auto" w:fill="auto"/>
                  <w:noWrap w:val="0"/>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建筑物</w:t>
                  </w:r>
                </w:p>
                <w:p>
                  <w:pPr>
                    <w:widowControl/>
                    <w:spacing w:line="240" w:lineRule="auto"/>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外距离</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553" w:type="dxa"/>
                  <w:vMerge w:val="restart"/>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生产厂房</w:t>
                  </w:r>
                </w:p>
              </w:tc>
              <w:tc>
                <w:tcPr>
                  <w:tcW w:w="1684" w:type="dxa"/>
                  <w:tcBorders>
                    <w:tl2br w:val="nil"/>
                    <w:tr2bl w:val="nil"/>
                  </w:tcBorders>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斗式提升机</w:t>
                  </w:r>
                </w:p>
              </w:tc>
              <w:tc>
                <w:tcPr>
                  <w:tcW w:w="821" w:type="dxa"/>
                  <w:tcBorders>
                    <w:tl2br w:val="nil"/>
                    <w:tr2bl w:val="nil"/>
                  </w:tcBorders>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color w:val="000000" w:themeColor="text1"/>
                      <w:szCs w:val="21"/>
                      <w:lang w:val="en-US" w:eastAsia="zh-CN"/>
                      <w14:textFill>
                        <w14:solidFill>
                          <w14:schemeClr w14:val="tx1"/>
                        </w14:solidFill>
                      </w14:textFill>
                    </w:rPr>
                    <w:t>4</w:t>
                  </w:r>
                </w:p>
              </w:tc>
              <w:tc>
                <w:tcPr>
                  <w:tcW w:w="106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65</w:t>
                  </w:r>
                </w:p>
              </w:tc>
              <w:tc>
                <w:tcPr>
                  <w:tcW w:w="841"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71</w:t>
                  </w:r>
                </w:p>
              </w:tc>
              <w:tc>
                <w:tcPr>
                  <w:tcW w:w="876" w:type="dxa"/>
                  <w:vMerge w:val="restart"/>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FF0000"/>
                      <w:kern w:val="0"/>
                      <w:sz w:val="21"/>
                      <w:szCs w:val="21"/>
                      <w:highlight w:val="none"/>
                      <w:lang w:val="en-US" w:eastAsia="zh-CN"/>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选用低噪声设备，消声、隔声</w:t>
                  </w:r>
                </w:p>
              </w:tc>
              <w:tc>
                <w:tcPr>
                  <w:tcW w:w="91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w:t>
                  </w:r>
                </w:p>
              </w:tc>
              <w:tc>
                <w:tcPr>
                  <w:tcW w:w="1090"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51</w:t>
                  </w:r>
                </w:p>
              </w:tc>
              <w:tc>
                <w:tcPr>
                  <w:tcW w:w="578" w:type="dxa"/>
                  <w:vMerge w:val="restart"/>
                  <w:tcBorders>
                    <w:tl2br w:val="nil"/>
                    <w:tr2bl w:val="nil"/>
                  </w:tcBorders>
                  <w:shd w:val="clear" w:color="auto" w:fill="auto"/>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4800</w:t>
                  </w:r>
                </w:p>
              </w:tc>
              <w:tc>
                <w:tcPr>
                  <w:tcW w:w="931" w:type="dxa"/>
                  <w:vMerge w:val="restart"/>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912"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w:t>
                  </w:r>
                </w:p>
              </w:tc>
              <w:tc>
                <w:tcPr>
                  <w:tcW w:w="986"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553"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684" w:type="dxa"/>
                  <w:tcBorders>
                    <w:tl2br w:val="nil"/>
                    <w:tr2bl w:val="nil"/>
                  </w:tcBorders>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color w:val="000000" w:themeColor="text1"/>
                      <w:szCs w:val="21"/>
                      <w:lang w:eastAsia="zh-CN"/>
                      <w14:textFill>
                        <w14:solidFill>
                          <w14:schemeClr w14:val="tx1"/>
                        </w14:solidFill>
                      </w14:textFill>
                    </w:rPr>
                    <w:t>螺旋输送机</w:t>
                  </w:r>
                </w:p>
              </w:tc>
              <w:tc>
                <w:tcPr>
                  <w:tcW w:w="821" w:type="dxa"/>
                  <w:tcBorders>
                    <w:tl2br w:val="nil"/>
                    <w:tr2bl w:val="nil"/>
                  </w:tcBorders>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color w:val="000000" w:themeColor="text1"/>
                      <w:szCs w:val="21"/>
                      <w:lang w:val="en-US" w:eastAsia="zh-CN"/>
                      <w14:textFill>
                        <w14:solidFill>
                          <w14:schemeClr w14:val="tx1"/>
                        </w14:solidFill>
                      </w14:textFill>
                    </w:rPr>
                    <w:t>4</w:t>
                  </w:r>
                </w:p>
              </w:tc>
              <w:tc>
                <w:tcPr>
                  <w:tcW w:w="106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65</w:t>
                  </w:r>
                </w:p>
              </w:tc>
              <w:tc>
                <w:tcPr>
                  <w:tcW w:w="841"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71</w:t>
                  </w:r>
                </w:p>
              </w:tc>
              <w:tc>
                <w:tcPr>
                  <w:tcW w:w="876"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FF0000"/>
                      <w:kern w:val="0"/>
                      <w:sz w:val="21"/>
                      <w:szCs w:val="21"/>
                      <w:highlight w:val="none"/>
                      <w:lang w:val="en-US" w:eastAsia="zh-CN"/>
                    </w:rPr>
                  </w:pPr>
                </w:p>
              </w:tc>
              <w:tc>
                <w:tcPr>
                  <w:tcW w:w="91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w:t>
                  </w:r>
                </w:p>
              </w:tc>
              <w:tc>
                <w:tcPr>
                  <w:tcW w:w="1090"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51</w:t>
                  </w:r>
                </w:p>
              </w:tc>
              <w:tc>
                <w:tcPr>
                  <w:tcW w:w="578" w:type="dxa"/>
                  <w:vMerge w:val="continue"/>
                  <w:tcBorders>
                    <w:tl2br w:val="nil"/>
                    <w:tr2bl w:val="nil"/>
                  </w:tcBorders>
                  <w:shd w:val="clear" w:color="auto" w:fill="auto"/>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1" w:type="dxa"/>
                  <w:vMerge w:val="continue"/>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12"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w:t>
                  </w:r>
                </w:p>
              </w:tc>
              <w:tc>
                <w:tcPr>
                  <w:tcW w:w="986"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553"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684" w:type="dxa"/>
                  <w:tcBorders>
                    <w:tl2br w:val="nil"/>
                    <w:tr2bl w:val="nil"/>
                  </w:tcBorders>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螺杆式压缩机</w:t>
                  </w:r>
                </w:p>
              </w:tc>
              <w:tc>
                <w:tcPr>
                  <w:tcW w:w="821" w:type="dxa"/>
                  <w:tcBorders>
                    <w:tl2br w:val="nil"/>
                    <w:tr2bl w:val="nil"/>
                  </w:tcBorders>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color w:val="000000" w:themeColor="text1"/>
                      <w:szCs w:val="21"/>
                      <w:lang w:val="en-US" w:eastAsia="zh-CN"/>
                      <w14:textFill>
                        <w14:solidFill>
                          <w14:schemeClr w14:val="tx1"/>
                        </w14:solidFill>
                      </w14:textFill>
                    </w:rPr>
                    <w:t>2</w:t>
                  </w:r>
                </w:p>
              </w:tc>
              <w:tc>
                <w:tcPr>
                  <w:tcW w:w="106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70</w:t>
                  </w:r>
                </w:p>
              </w:tc>
              <w:tc>
                <w:tcPr>
                  <w:tcW w:w="841"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73</w:t>
                  </w:r>
                </w:p>
              </w:tc>
              <w:tc>
                <w:tcPr>
                  <w:tcW w:w="876"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FF0000"/>
                      <w:kern w:val="0"/>
                      <w:sz w:val="21"/>
                      <w:szCs w:val="21"/>
                      <w:highlight w:val="none"/>
                      <w:lang w:val="en-US" w:eastAsia="zh-CN"/>
                    </w:rPr>
                  </w:pPr>
                </w:p>
              </w:tc>
              <w:tc>
                <w:tcPr>
                  <w:tcW w:w="91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w:t>
                  </w:r>
                </w:p>
              </w:tc>
              <w:tc>
                <w:tcPr>
                  <w:tcW w:w="1090"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51.42</w:t>
                  </w:r>
                </w:p>
              </w:tc>
              <w:tc>
                <w:tcPr>
                  <w:tcW w:w="578" w:type="dxa"/>
                  <w:vMerge w:val="continue"/>
                  <w:tcBorders>
                    <w:tl2br w:val="nil"/>
                    <w:tr2bl w:val="nil"/>
                  </w:tcBorders>
                  <w:shd w:val="clear" w:color="auto" w:fill="auto"/>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1" w:type="dxa"/>
                  <w:vMerge w:val="continue"/>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12"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31.42</w:t>
                  </w:r>
                </w:p>
              </w:tc>
              <w:tc>
                <w:tcPr>
                  <w:tcW w:w="986"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553"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684" w:type="dxa"/>
                  <w:tcBorders>
                    <w:tl2br w:val="nil"/>
                    <w:tr2bl w:val="nil"/>
                  </w:tcBorders>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color w:val="000000" w:themeColor="text1"/>
                      <w:szCs w:val="21"/>
                      <w:lang w:val="en-US" w:eastAsia="zh-CN"/>
                      <w14:textFill>
                        <w14:solidFill>
                          <w14:schemeClr w14:val="tx1"/>
                        </w14:solidFill>
                      </w14:textFill>
                    </w:rPr>
                    <w:t>HD-1700A磨粉机</w:t>
                  </w:r>
                </w:p>
              </w:tc>
              <w:tc>
                <w:tcPr>
                  <w:tcW w:w="821" w:type="dxa"/>
                  <w:tcBorders>
                    <w:tl2br w:val="nil"/>
                    <w:tr2bl w:val="nil"/>
                  </w:tcBorders>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color w:val="000000" w:themeColor="text1"/>
                      <w:szCs w:val="21"/>
                      <w:lang w:val="en-US" w:eastAsia="zh-CN"/>
                      <w14:textFill>
                        <w14:solidFill>
                          <w14:schemeClr w14:val="tx1"/>
                        </w14:solidFill>
                      </w14:textFill>
                    </w:rPr>
                    <w:t>4</w:t>
                  </w:r>
                </w:p>
              </w:tc>
              <w:tc>
                <w:tcPr>
                  <w:tcW w:w="106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75</w:t>
                  </w:r>
                </w:p>
              </w:tc>
              <w:tc>
                <w:tcPr>
                  <w:tcW w:w="841"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81</w:t>
                  </w:r>
                </w:p>
              </w:tc>
              <w:tc>
                <w:tcPr>
                  <w:tcW w:w="876"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FF0000"/>
                      <w:kern w:val="0"/>
                      <w:sz w:val="21"/>
                      <w:szCs w:val="21"/>
                      <w:highlight w:val="none"/>
                      <w:lang w:val="en-US" w:eastAsia="zh-CN"/>
                    </w:rPr>
                  </w:pPr>
                </w:p>
              </w:tc>
              <w:tc>
                <w:tcPr>
                  <w:tcW w:w="91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w:t>
                  </w:r>
                </w:p>
              </w:tc>
              <w:tc>
                <w:tcPr>
                  <w:tcW w:w="1090"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61</w:t>
                  </w:r>
                </w:p>
              </w:tc>
              <w:tc>
                <w:tcPr>
                  <w:tcW w:w="578" w:type="dxa"/>
                  <w:vMerge w:val="continue"/>
                  <w:tcBorders>
                    <w:tl2br w:val="nil"/>
                    <w:tr2bl w:val="nil"/>
                  </w:tcBorders>
                  <w:shd w:val="clear" w:color="auto" w:fill="auto"/>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1" w:type="dxa"/>
                  <w:vMerge w:val="continue"/>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12"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41</w:t>
                  </w:r>
                </w:p>
              </w:tc>
              <w:tc>
                <w:tcPr>
                  <w:tcW w:w="986"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553"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684" w:type="dxa"/>
                  <w:tcBorders>
                    <w:tl2br w:val="nil"/>
                    <w:tr2bl w:val="nil"/>
                  </w:tcBorders>
                  <w:shd w:val="clear" w:color="auto" w:fill="auto"/>
                  <w:noWrap/>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color w:val="000000" w:themeColor="text1"/>
                      <w:szCs w:val="21"/>
                      <w:lang w:eastAsia="zh-CN"/>
                      <w14:textFill>
                        <w14:solidFill>
                          <w14:schemeClr w14:val="tx1"/>
                        </w14:solidFill>
                      </w14:textFill>
                    </w:rPr>
                    <w:t>自动打包机</w:t>
                  </w:r>
                </w:p>
              </w:tc>
              <w:tc>
                <w:tcPr>
                  <w:tcW w:w="821" w:type="dxa"/>
                  <w:tcBorders>
                    <w:tl2br w:val="nil"/>
                    <w:tr2bl w:val="nil"/>
                  </w:tcBorders>
                  <w:shd w:val="clear" w:color="auto" w:fill="auto"/>
                  <w:noWrap/>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color w:val="000000" w:themeColor="text1"/>
                      <w:szCs w:val="21"/>
                      <w:lang w:val="en-US" w:eastAsia="zh-CN"/>
                      <w14:textFill>
                        <w14:solidFill>
                          <w14:schemeClr w14:val="tx1"/>
                        </w14:solidFill>
                      </w14:textFill>
                    </w:rPr>
                    <w:t>1</w:t>
                  </w:r>
                </w:p>
              </w:tc>
              <w:tc>
                <w:tcPr>
                  <w:tcW w:w="106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70</w:t>
                  </w:r>
                </w:p>
              </w:tc>
              <w:tc>
                <w:tcPr>
                  <w:tcW w:w="841"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70</w:t>
                  </w:r>
                </w:p>
              </w:tc>
              <w:tc>
                <w:tcPr>
                  <w:tcW w:w="876"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FF0000"/>
                      <w:kern w:val="0"/>
                      <w:sz w:val="21"/>
                      <w:szCs w:val="21"/>
                      <w:highlight w:val="none"/>
                      <w:lang w:val="en-US" w:eastAsia="zh-CN"/>
                    </w:rPr>
                  </w:pPr>
                </w:p>
              </w:tc>
              <w:tc>
                <w:tcPr>
                  <w:tcW w:w="91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eastAsia"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1090"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56.02</w:t>
                  </w:r>
                </w:p>
              </w:tc>
              <w:tc>
                <w:tcPr>
                  <w:tcW w:w="578" w:type="dxa"/>
                  <w:vMerge w:val="restart"/>
                  <w:tcBorders>
                    <w:tl2br w:val="nil"/>
                    <w:tr2bl w:val="nil"/>
                  </w:tcBorders>
                  <w:shd w:val="clear" w:color="auto" w:fill="auto"/>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2400</w:t>
                  </w:r>
                </w:p>
              </w:tc>
              <w:tc>
                <w:tcPr>
                  <w:tcW w:w="931" w:type="dxa"/>
                  <w:vMerge w:val="continue"/>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12"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36.02</w:t>
                  </w:r>
                </w:p>
              </w:tc>
              <w:tc>
                <w:tcPr>
                  <w:tcW w:w="986"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w:t>
                  </w:r>
                </w:p>
              </w:tc>
              <w:tc>
                <w:tcPr>
                  <w:tcW w:w="553"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684" w:type="dxa"/>
                  <w:tcBorders>
                    <w:tl2br w:val="nil"/>
                    <w:tr2bl w:val="nil"/>
                  </w:tcBorders>
                  <w:shd w:val="clear" w:color="auto" w:fill="auto"/>
                  <w:noWrap/>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color w:val="000000" w:themeColor="text1"/>
                      <w:szCs w:val="21"/>
                      <w:lang w:eastAsia="zh-CN"/>
                      <w14:textFill>
                        <w14:solidFill>
                          <w14:schemeClr w14:val="tx1"/>
                        </w14:solidFill>
                      </w14:textFill>
                    </w:rPr>
                    <w:t>鄂式破碎机</w:t>
                  </w:r>
                </w:p>
              </w:tc>
              <w:tc>
                <w:tcPr>
                  <w:tcW w:w="821" w:type="dxa"/>
                  <w:tcBorders>
                    <w:tl2br w:val="nil"/>
                    <w:tr2bl w:val="nil"/>
                  </w:tcBorders>
                  <w:shd w:val="clear" w:color="auto" w:fill="auto"/>
                  <w:noWrap/>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106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80</w:t>
                  </w:r>
                </w:p>
              </w:tc>
              <w:tc>
                <w:tcPr>
                  <w:tcW w:w="841"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80</w:t>
                  </w:r>
                </w:p>
              </w:tc>
              <w:tc>
                <w:tcPr>
                  <w:tcW w:w="876"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FF0000"/>
                      <w:kern w:val="0"/>
                      <w:sz w:val="21"/>
                      <w:szCs w:val="21"/>
                      <w:highlight w:val="none"/>
                      <w:lang w:val="en-US" w:eastAsia="zh-CN"/>
                    </w:rPr>
                  </w:pPr>
                </w:p>
              </w:tc>
              <w:tc>
                <w:tcPr>
                  <w:tcW w:w="91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1090"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66.02</w:t>
                  </w:r>
                </w:p>
              </w:tc>
              <w:tc>
                <w:tcPr>
                  <w:tcW w:w="578" w:type="dxa"/>
                  <w:vMerge w:val="continue"/>
                  <w:tcBorders>
                    <w:tl2br w:val="nil"/>
                    <w:tr2bl w:val="nil"/>
                  </w:tcBorders>
                  <w:shd w:val="clear" w:color="auto" w:fill="auto"/>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1" w:type="dxa"/>
                  <w:vMerge w:val="continue"/>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12"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46.02</w:t>
                  </w:r>
                </w:p>
              </w:tc>
              <w:tc>
                <w:tcPr>
                  <w:tcW w:w="986"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w:t>
                  </w:r>
                </w:p>
              </w:tc>
              <w:tc>
                <w:tcPr>
                  <w:tcW w:w="553"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684" w:type="dxa"/>
                  <w:tcBorders>
                    <w:tl2br w:val="nil"/>
                    <w:tr2bl w:val="nil"/>
                  </w:tcBorders>
                  <w:shd w:val="clear" w:color="auto" w:fill="auto"/>
                  <w:noWrap/>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color w:val="000000" w:themeColor="text1"/>
                      <w:szCs w:val="21"/>
                      <w:lang w:eastAsia="zh-CN"/>
                      <w14:textFill>
                        <w14:solidFill>
                          <w14:schemeClr w14:val="tx1"/>
                        </w14:solidFill>
                      </w14:textFill>
                    </w:rPr>
                    <w:t>锤式破碎机</w:t>
                  </w:r>
                </w:p>
              </w:tc>
              <w:tc>
                <w:tcPr>
                  <w:tcW w:w="821" w:type="dxa"/>
                  <w:tcBorders>
                    <w:tl2br w:val="nil"/>
                    <w:tr2bl w:val="nil"/>
                  </w:tcBorders>
                  <w:shd w:val="clear" w:color="auto" w:fill="auto"/>
                  <w:noWrap/>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szCs w:val="21"/>
                      <w:lang w:val="en-US" w:eastAsia="zh-CN"/>
                      <w14:textFill>
                        <w14:solidFill>
                          <w14:schemeClr w14:val="tx1"/>
                        </w14:solidFill>
                      </w14:textFill>
                    </w:rPr>
                    <w:t>1</w:t>
                  </w:r>
                </w:p>
              </w:tc>
              <w:tc>
                <w:tcPr>
                  <w:tcW w:w="106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80</w:t>
                  </w:r>
                </w:p>
              </w:tc>
              <w:tc>
                <w:tcPr>
                  <w:tcW w:w="841"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80</w:t>
                  </w:r>
                </w:p>
              </w:tc>
              <w:tc>
                <w:tcPr>
                  <w:tcW w:w="876" w:type="dxa"/>
                  <w:vMerge w:val="continue"/>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FF0000"/>
                      <w:kern w:val="0"/>
                      <w:sz w:val="21"/>
                      <w:szCs w:val="21"/>
                      <w:highlight w:val="none"/>
                      <w:lang w:val="en-US" w:eastAsia="zh-CN"/>
                    </w:rPr>
                  </w:pPr>
                </w:p>
              </w:tc>
              <w:tc>
                <w:tcPr>
                  <w:tcW w:w="914" w:type="dxa"/>
                  <w:tcBorders>
                    <w:tl2br w:val="nil"/>
                    <w:tr2bl w:val="nil"/>
                  </w:tcBorders>
                  <w:shd w:val="clear" w:color="auto" w:fill="auto"/>
                  <w:noWrap/>
                  <w:tcMar>
                    <w:top w:w="0" w:type="dxa"/>
                    <w:left w:w="0" w:type="dxa"/>
                    <w:bottom w:w="0" w:type="dxa"/>
                    <w:right w:w="0" w:type="dxa"/>
                  </w:tcMar>
                  <w:vAlign w:val="center"/>
                </w:tcPr>
                <w:p>
                  <w:pPr>
                    <w:widowControl/>
                    <w:spacing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1090"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66.02</w:t>
                  </w:r>
                </w:p>
              </w:tc>
              <w:tc>
                <w:tcPr>
                  <w:tcW w:w="578" w:type="dxa"/>
                  <w:vMerge w:val="continue"/>
                  <w:tcBorders>
                    <w:tl2br w:val="nil"/>
                    <w:tr2bl w:val="nil"/>
                  </w:tcBorders>
                  <w:shd w:val="clear" w:color="auto" w:fill="auto"/>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1" w:type="dxa"/>
                  <w:vMerge w:val="continue"/>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12"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46.02</w:t>
                  </w:r>
                </w:p>
              </w:tc>
              <w:tc>
                <w:tcPr>
                  <w:tcW w:w="986" w:type="dxa"/>
                  <w:tcBorders>
                    <w:tl2br w:val="nil"/>
                    <w:tr2bl w:val="nil"/>
                  </w:tcBorders>
                  <w:shd w:val="clear" w:color="auto" w:fill="auto"/>
                  <w:noWrap/>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bl>
          <w:p>
            <w:pPr>
              <w:pStyle w:val="24"/>
              <w:ind w:firstLine="480"/>
              <w:rPr>
                <w:rFonts w:hint="default" w:ascii="Times New Roman" w:hAnsi="Times New Roman" w:eastAsia="宋体" w:cs="Times New Roman"/>
                <w:b/>
                <w:bCs/>
                <w:color w:val="000000" w:themeColor="text1"/>
                <w:sz w:val="24"/>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8"/>
                <w:highlight w:val="none"/>
                <w:lang w:val="en-US" w:eastAsia="zh-CN"/>
                <w14:textFill>
                  <w14:solidFill>
                    <w14:schemeClr w14:val="tx1"/>
                  </w14:solidFill>
                </w14:textFill>
              </w:rPr>
              <w:t>2、预测模型及方法</w:t>
            </w:r>
          </w:p>
          <w:p>
            <w:pPr>
              <w:widowControl/>
              <w:overflowPunct w:val="0"/>
              <w:topLinePunct/>
              <w:autoSpaceDE w:val="0"/>
              <w:adjustRightInd w:val="0"/>
              <w:snapToGrid w:val="0"/>
              <w:spacing w:line="360" w:lineRule="auto"/>
              <w:ind w:firstLine="480" w:firstLineChars="200"/>
              <w:jc w:val="left"/>
              <w:textAlignment w:val="baseline"/>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根据《环境影响评价技术导则声环境》（HJ2.4-2021），噪声预测计算的基本公式为：</w:t>
            </w:r>
          </w:p>
          <w:p>
            <w:pPr>
              <w:widowControl/>
              <w:overflowPunct w:val="0"/>
              <w:topLinePunct/>
              <w:autoSpaceDE w:val="0"/>
              <w:adjustRightInd w:val="0"/>
              <w:snapToGrid w:val="0"/>
              <w:spacing w:line="360" w:lineRule="auto"/>
              <w:ind w:firstLine="480" w:firstLineChars="200"/>
              <w:jc w:val="left"/>
              <w:textAlignment w:val="baseline"/>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①单个室外的点声源在预测点产生的声级计算基本公式</w:t>
            </w:r>
          </w:p>
          <w:p>
            <w:pPr>
              <w:widowControl/>
              <w:overflowPunct w:val="0"/>
              <w:topLinePunct/>
              <w:autoSpaceDE w:val="0"/>
              <w:adjustRightInd w:val="0"/>
              <w:snapToGrid w:val="0"/>
              <w:spacing w:line="360" w:lineRule="auto"/>
              <w:ind w:firstLine="480" w:firstLineChars="200"/>
              <w:jc w:val="left"/>
              <w:textAlignment w:val="baseline"/>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如已知声源的倍频带声功率级（从63Hz到8KHz标称频带中心频率的8个倍频带），预测点位置的倍频带声压级可按公式（A.1）计算：</w:t>
            </w:r>
          </w:p>
          <w:p>
            <w:pPr>
              <w:spacing w:line="360" w:lineRule="auto"/>
              <w:ind w:firstLine="480" w:firstLineChars="200"/>
              <w:jc w:val="cente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drawing>
                <wp:inline distT="0" distB="0" distL="0" distR="0">
                  <wp:extent cx="4392295" cy="808990"/>
                  <wp:effectExtent l="0" t="0" r="8255" b="10160"/>
                  <wp:docPr id="3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0"/>
                          <pic:cNvPicPr>
                            <a:picLocks noChangeAspect="1" noChangeArrowheads="1"/>
                          </pic:cNvPicPr>
                        </pic:nvPicPr>
                        <pic:blipFill>
                          <a:blip r:embed="rId16" cstate="print"/>
                          <a:srcRect/>
                          <a:stretch>
                            <a:fillRect/>
                          </a:stretch>
                        </pic:blipFill>
                        <pic:spPr>
                          <a:xfrm>
                            <a:off x="0" y="0"/>
                            <a:ext cx="4392295" cy="808990"/>
                          </a:xfrm>
                          <a:prstGeom prst="rect">
                            <a:avLst/>
                          </a:prstGeom>
                          <a:noFill/>
                          <a:ln w="9525">
                            <a:noFill/>
                            <a:miter lim="800000"/>
                            <a:headEnd/>
                            <a:tailEnd/>
                          </a:ln>
                        </pic:spPr>
                      </pic:pic>
                    </a:graphicData>
                  </a:graphic>
                </wp:inline>
              </w:drawing>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式中：Lw—倍频带声功率级，dB；</w:t>
            </w:r>
          </w:p>
          <w:p>
            <w:pPr>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Dc—指向性校正，dB；它描述点声源的等效连续声压级与产生声功率级的全向点声源在规定方向的级的偏差程度。指向性校正等于点声源的指向性指数DI加上计到小于4π球面度（sr）立体角内的声传播指数DΩ。对辐射到自由空间的全向点声源，Dc=0dB。</w:t>
            </w:r>
          </w:p>
          <w:p>
            <w:pPr>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A—倍频带衰减，dB；</w:t>
            </w:r>
          </w:p>
          <w:p>
            <w:pPr>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Adiv—几何发散引起的倍频带衰减，dB；</w:t>
            </w:r>
          </w:p>
          <w:p>
            <w:pPr>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Aatm—大气吸收引起的倍频带衰减，dB；</w:t>
            </w:r>
          </w:p>
          <w:p>
            <w:pPr>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Agr—地面效应引起的倍频带衰减，dB；</w:t>
            </w:r>
          </w:p>
          <w:p>
            <w:pPr>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Abar—声屏障引起的倍频带衰减，dB；</w:t>
            </w:r>
          </w:p>
          <w:p>
            <w:pPr>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Amisc—其他多方面效应引起的倍频带衰减，dB。</w:t>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如已知靠近声源处某点的倍频带声压级Lp(r0</w:t>
            </w:r>
            <w:r>
              <w:rPr>
                <w:rFonts w:hint="eastAsia"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时，相同方向预测点位置的倍频带声压级Lp(r</w:t>
            </w:r>
            <w:r>
              <w:rPr>
                <w:rFonts w:hint="eastAsia"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可按公式（A.2）计算：</w:t>
            </w:r>
          </w:p>
          <w:p>
            <w:pPr>
              <w:spacing w:line="360" w:lineRule="auto"/>
              <w:ind w:firstLine="480" w:firstLineChars="200"/>
              <w:jc w:val="cente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drawing>
                <wp:inline distT="0" distB="0" distL="0" distR="0">
                  <wp:extent cx="5318125" cy="562610"/>
                  <wp:effectExtent l="0" t="0" r="15875" b="8890"/>
                  <wp:docPr id="3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1"/>
                          <pic:cNvPicPr>
                            <a:picLocks noChangeAspect="1" noChangeArrowheads="1"/>
                          </pic:cNvPicPr>
                        </pic:nvPicPr>
                        <pic:blipFill>
                          <a:blip r:embed="rId17" cstate="print"/>
                          <a:srcRect/>
                          <a:stretch>
                            <a:fillRect/>
                          </a:stretch>
                        </pic:blipFill>
                        <pic:spPr>
                          <a:xfrm>
                            <a:off x="0" y="0"/>
                            <a:ext cx="5318125" cy="562610"/>
                          </a:xfrm>
                          <a:prstGeom prst="rect">
                            <a:avLst/>
                          </a:prstGeom>
                          <a:noFill/>
                          <a:ln w="9525">
                            <a:noFill/>
                            <a:miter lim="800000"/>
                            <a:headEnd/>
                            <a:tailEnd/>
                          </a:ln>
                        </pic:spPr>
                      </pic:pic>
                    </a:graphicData>
                  </a:graphic>
                </wp:inline>
              </w:drawing>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预测点的A声级LA(r)，可利用8个倍频带的声压级按公式（A.3）计算：</w:t>
            </w:r>
          </w:p>
          <w:p>
            <w:pPr>
              <w:spacing w:line="360" w:lineRule="auto"/>
              <w:ind w:firstLine="480" w:firstLineChars="200"/>
              <w:jc w:val="cente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drawing>
                <wp:inline distT="0" distB="0" distL="0" distR="0">
                  <wp:extent cx="4532630" cy="605790"/>
                  <wp:effectExtent l="0" t="0" r="1270" b="3810"/>
                  <wp:docPr id="3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2"/>
                          <pic:cNvPicPr>
                            <a:picLocks noChangeAspect="1" noChangeArrowheads="1"/>
                          </pic:cNvPicPr>
                        </pic:nvPicPr>
                        <pic:blipFill>
                          <a:blip r:embed="rId18" cstate="print"/>
                          <a:srcRect b="19070"/>
                          <a:stretch>
                            <a:fillRect/>
                          </a:stretch>
                        </pic:blipFill>
                        <pic:spPr>
                          <a:xfrm>
                            <a:off x="0" y="0"/>
                            <a:ext cx="4532630" cy="605790"/>
                          </a:xfrm>
                          <a:prstGeom prst="rect">
                            <a:avLst/>
                          </a:prstGeom>
                          <a:noFill/>
                          <a:ln w="9525">
                            <a:noFill/>
                            <a:miter lim="800000"/>
                            <a:headEnd/>
                            <a:tailEnd/>
                          </a:ln>
                        </pic:spPr>
                      </pic:pic>
                    </a:graphicData>
                  </a:graphic>
                </wp:inline>
              </w:drawing>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式中：Lpi(r)—预测点（r）处，第i倍频带声压级，dB；</w:t>
            </w:r>
          </w:p>
          <w:p>
            <w:pPr>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ΔLi—i倍频带A计权网络修正值，dB（见附录B）。</w:t>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在不能取得声源倍频带声功率级或倍频带声压级，只能获得A声功率级或某点的A声级时，可按公式（A.4）和（A.5）作近似计算：</w:t>
            </w:r>
          </w:p>
          <w:p>
            <w:pPr>
              <w:snapToGrid w:val="0"/>
              <w:spacing w:line="360" w:lineRule="auto"/>
              <w:ind w:firstLine="480" w:firstLineChars="200"/>
              <w:jc w:val="cente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drawing>
                <wp:inline distT="0" distB="0" distL="0" distR="0">
                  <wp:extent cx="4514850" cy="712470"/>
                  <wp:effectExtent l="0" t="0" r="0" b="11430"/>
                  <wp:docPr id="4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3"/>
                          <pic:cNvPicPr>
                            <a:picLocks noChangeAspect="1" noChangeArrowheads="1"/>
                          </pic:cNvPicPr>
                        </pic:nvPicPr>
                        <pic:blipFill>
                          <a:blip r:embed="rId19" cstate="print"/>
                          <a:srcRect/>
                          <a:stretch>
                            <a:fillRect/>
                          </a:stretch>
                        </pic:blipFill>
                        <pic:spPr>
                          <a:xfrm>
                            <a:off x="0" y="0"/>
                            <a:ext cx="4514850" cy="712470"/>
                          </a:xfrm>
                          <a:prstGeom prst="rect">
                            <a:avLst/>
                          </a:prstGeom>
                          <a:noFill/>
                          <a:ln w="9525">
                            <a:noFill/>
                            <a:miter lim="800000"/>
                            <a:headEnd/>
                            <a:tailEnd/>
                          </a:ln>
                        </pic:spPr>
                      </pic:pic>
                    </a:graphicData>
                  </a:graphic>
                </wp:inline>
              </w:drawing>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2"/>
                <w:highlight w:val="none"/>
                <w:lang w:val="en-US" w:eastAsia="zh-CN" w:bidi="ar-SA"/>
                <w14:textFill>
                  <w14:solidFill>
                    <w14:schemeClr w14:val="tx1"/>
                  </w14:solidFill>
                </w14:textFill>
              </w:rPr>
              <w:t>②</w:t>
            </w: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室内声源等效室外声源声功率级计算方法</w:t>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声源位于室内，室内声源可采用等效室外声源声功率级法进行计算。设靠近开口处（或窗户）室内、室外某倍频带的声压级分别为Lp1和Lp2。若声源所在室内声场为近似扩散声场，则室外的倍频带声压级可按公式（A.6）近似求出：</w:t>
            </w:r>
          </w:p>
          <w:p>
            <w:pPr>
              <w:spacing w:line="360" w:lineRule="auto"/>
              <w:ind w:firstLine="480" w:firstLineChars="200"/>
              <w:jc w:val="cente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Lp2=Lp1-（TL+6）（A.6）</w:t>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式中：TL—隔墙（或窗户）倍频带的隔声量，dB。</w:t>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也可按公式（A.7）计算某一室内声源靠近围护结构处产生的倍频带声压级：</w:t>
            </w:r>
          </w:p>
          <w:p>
            <w:pPr>
              <w:spacing w:line="360" w:lineRule="auto"/>
              <w:ind w:firstLine="480" w:firstLineChars="200"/>
              <w:jc w:val="cente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drawing>
                <wp:inline distT="0" distB="0" distL="0" distR="0">
                  <wp:extent cx="4986655" cy="627380"/>
                  <wp:effectExtent l="0" t="0" r="4445" b="1270"/>
                  <wp:docPr id="4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4"/>
                          <pic:cNvPicPr>
                            <a:picLocks noChangeAspect="1" noChangeArrowheads="1"/>
                          </pic:cNvPicPr>
                        </pic:nvPicPr>
                        <pic:blipFill>
                          <a:blip r:embed="rId20" cstate="print"/>
                          <a:srcRect/>
                          <a:stretch>
                            <a:fillRect/>
                          </a:stretch>
                        </pic:blipFill>
                        <pic:spPr>
                          <a:xfrm>
                            <a:off x="0" y="0"/>
                            <a:ext cx="4986655" cy="627380"/>
                          </a:xfrm>
                          <a:prstGeom prst="rect">
                            <a:avLst/>
                          </a:prstGeom>
                          <a:noFill/>
                          <a:ln w="9525">
                            <a:noFill/>
                            <a:miter lim="800000"/>
                            <a:headEnd/>
                            <a:tailEnd/>
                          </a:ln>
                        </pic:spPr>
                      </pic:pic>
                    </a:graphicData>
                  </a:graphic>
                </wp:inline>
              </w:drawing>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式中：Q—指向性因数；通常对无指向性声源，当声源放在房间中心时，Q=1；当放在一面墙的中心时，Q=2；当放在两面墙夹角处时，Q=4；当放在三面墙夹角处时，Q=8。</w:t>
            </w:r>
          </w:p>
          <w:p>
            <w:pPr>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R—房间常数；R=Sα/（1-α），S为房间内表面面积，m2；α为平均吸声系数。</w:t>
            </w:r>
          </w:p>
          <w:p>
            <w:pPr>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r—声源到靠近围护结构某点处的距离，m。</w:t>
            </w:r>
          </w:p>
          <w:p>
            <w:pPr>
              <w:spacing w:line="360" w:lineRule="auto"/>
              <w:ind w:firstLine="480" w:firstLineChars="200"/>
              <w:jc w:val="cente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drawing>
                <wp:inline distT="0" distB="0" distL="0" distR="0">
                  <wp:extent cx="3810000" cy="533400"/>
                  <wp:effectExtent l="0" t="0" r="0" b="0"/>
                  <wp:docPr id="4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5"/>
                          <pic:cNvPicPr>
                            <a:picLocks noChangeAspect="1" noChangeArrowheads="1"/>
                          </pic:cNvPicPr>
                        </pic:nvPicPr>
                        <pic:blipFill>
                          <a:blip r:embed="rId21" cstate="print"/>
                          <a:srcRect/>
                          <a:stretch>
                            <a:fillRect/>
                          </a:stretch>
                        </pic:blipFill>
                        <pic:spPr>
                          <a:xfrm>
                            <a:off x="0" y="0"/>
                            <a:ext cx="3810000" cy="533400"/>
                          </a:xfrm>
                          <a:prstGeom prst="rect">
                            <a:avLst/>
                          </a:prstGeom>
                          <a:noFill/>
                          <a:ln w="9525">
                            <a:noFill/>
                            <a:miter lim="800000"/>
                            <a:headEnd/>
                            <a:tailEnd/>
                          </a:ln>
                        </pic:spPr>
                      </pic:pic>
                    </a:graphicData>
                  </a:graphic>
                </wp:inline>
              </w:drawing>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然后按公式（A.8）计算出所有室内声源在围护结构处产生的i倍频带叠加声压级：</w:t>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式中：Lpli(T)—靠近围护结构处室内N个声源i倍频带的叠加声压级，dB；</w:t>
            </w:r>
          </w:p>
          <w:p>
            <w:pPr>
              <w:spacing w:line="360" w:lineRule="auto"/>
              <w:ind w:firstLine="1200" w:firstLineChars="5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Lplij(T)L—室内j声源i倍频带的声压级，dB；</w:t>
            </w:r>
          </w:p>
          <w:p>
            <w:pPr>
              <w:spacing w:line="360" w:lineRule="auto"/>
              <w:ind w:firstLine="1200" w:firstLineChars="5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N—室内声源总数。</w:t>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在室内近似为扩散声场时，按公式（A.9）计算出靠近室外围护结构处的声压级：</w:t>
            </w:r>
          </w:p>
          <w:p>
            <w:pPr>
              <w:spacing w:line="360" w:lineRule="auto"/>
              <w:ind w:firstLine="480" w:firstLineChars="200"/>
              <w:jc w:val="cente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drawing>
                <wp:inline distT="0" distB="0" distL="0" distR="0">
                  <wp:extent cx="6166485" cy="519430"/>
                  <wp:effectExtent l="0" t="0" r="5715" b="13970"/>
                  <wp:docPr id="4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6"/>
                          <pic:cNvPicPr>
                            <a:picLocks noChangeAspect="1" noChangeArrowheads="1"/>
                          </pic:cNvPicPr>
                        </pic:nvPicPr>
                        <pic:blipFill>
                          <a:blip r:embed="rId22" cstate="print"/>
                          <a:srcRect/>
                          <a:stretch>
                            <a:fillRect/>
                          </a:stretch>
                        </pic:blipFill>
                        <pic:spPr>
                          <a:xfrm>
                            <a:off x="0" y="0"/>
                            <a:ext cx="6166485" cy="519430"/>
                          </a:xfrm>
                          <a:prstGeom prst="rect">
                            <a:avLst/>
                          </a:prstGeom>
                          <a:noFill/>
                          <a:ln w="9525">
                            <a:noFill/>
                            <a:miter lim="800000"/>
                            <a:headEnd/>
                            <a:tailEnd/>
                          </a:ln>
                        </pic:spPr>
                      </pic:pic>
                    </a:graphicData>
                  </a:graphic>
                </wp:inline>
              </w:drawing>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式中：Lp2i(T)—靠近围护结构处室外N个声源i倍频带的叠加声压级，dB；</w:t>
            </w:r>
          </w:p>
          <w:p>
            <w:pPr>
              <w:spacing w:line="360" w:lineRule="auto"/>
              <w:ind w:firstLine="1200" w:firstLineChars="5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TLi—围护结构i倍频带的隔声量，dB。</w:t>
            </w:r>
          </w:p>
          <w:p>
            <w:pPr>
              <w:snapToGrid w:val="0"/>
              <w:spacing w:line="360" w:lineRule="auto"/>
              <w:ind w:firstLine="480" w:firstLineChars="200"/>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然后按公式（A.10）将室外声源的声压级和透过面积换算成等效的室外声源，计算出中心位置位于透声面积（S）处的等效声源的倍频带声功率级。</w:t>
            </w:r>
          </w:p>
          <w:p>
            <w:pPr>
              <w:pStyle w:val="608"/>
              <w:numPr>
                <w:ilvl w:val="5"/>
                <w:numId w:val="0"/>
              </w:numPr>
              <w:spacing w:line="360" w:lineRule="auto"/>
              <w:ind w:firstLine="480" w:firstLineChars="200"/>
              <w:jc w:val="cente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drawing>
                <wp:inline distT="0" distB="0" distL="0" distR="0">
                  <wp:extent cx="6026785" cy="558800"/>
                  <wp:effectExtent l="0" t="0" r="12065" b="12700"/>
                  <wp:docPr id="4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7"/>
                          <pic:cNvPicPr>
                            <a:picLocks noChangeAspect="1" noChangeArrowheads="1"/>
                          </pic:cNvPicPr>
                        </pic:nvPicPr>
                        <pic:blipFill>
                          <a:blip r:embed="rId23" cstate="print"/>
                          <a:srcRect/>
                          <a:stretch>
                            <a:fillRect/>
                          </a:stretch>
                        </pic:blipFill>
                        <pic:spPr>
                          <a:xfrm>
                            <a:off x="0" y="0"/>
                            <a:ext cx="6026785" cy="558800"/>
                          </a:xfrm>
                          <a:prstGeom prst="rect">
                            <a:avLst/>
                          </a:prstGeom>
                          <a:noFill/>
                          <a:ln w="9525">
                            <a:noFill/>
                            <a:miter lim="800000"/>
                            <a:headEnd/>
                            <a:tailEnd/>
                          </a:ln>
                        </pic:spPr>
                      </pic:pic>
                    </a:graphicData>
                  </a:graphic>
                </wp:inline>
              </w:drawing>
            </w:r>
          </w:p>
          <w:p>
            <w:pPr>
              <w:pStyle w:val="608"/>
              <w:numPr>
                <w:ilvl w:val="5"/>
                <w:numId w:val="0"/>
              </w:numPr>
              <w:spacing w:line="360" w:lineRule="auto"/>
              <w:ind w:firstLine="482" w:firstLineChars="200"/>
              <w:jc w:val="both"/>
              <w:rPr>
                <w:rFonts w:hint="default" w:ascii="Times New Roman" w:hAnsi="Times New Roman" w:eastAsia="宋体" w:cs="Times New Roman"/>
                <w:b/>
                <w:bCs/>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2"/>
                <w:highlight w:val="none"/>
                <w:lang w:val="en-US" w:eastAsia="zh-CN" w:bidi="ar-SA"/>
                <w14:textFill>
                  <w14:solidFill>
                    <w14:schemeClr w14:val="tx1"/>
                  </w14:solidFill>
                </w14:textFill>
              </w:rPr>
              <w:t>3、厂界噪声预测结果及达标情况</w:t>
            </w:r>
          </w:p>
          <w:p>
            <w:pPr>
              <w:pStyle w:val="608"/>
              <w:numPr>
                <w:ilvl w:val="5"/>
                <w:numId w:val="0"/>
              </w:numPr>
              <w:spacing w:line="360" w:lineRule="auto"/>
              <w:ind w:firstLine="480" w:firstLineChars="200"/>
              <w:jc w:val="both"/>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项目噪声预测结果与达标分析见下表。</w:t>
            </w:r>
          </w:p>
          <w:p>
            <w:pPr>
              <w:pStyle w:val="608"/>
              <w:numPr>
                <w:ilvl w:val="5"/>
                <w:numId w:val="0"/>
              </w:numPr>
              <w:spacing w:line="360" w:lineRule="auto"/>
              <w:jc w:val="both"/>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pPr>
          </w:p>
          <w:p>
            <w:pPr>
              <w:pStyle w:val="605"/>
              <w:tabs>
                <w:tab w:val="clear" w:pos="360"/>
              </w:tabs>
              <w:ind w:left="0"/>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p>
          <w:p>
            <w:pPr>
              <w:pStyle w:val="605"/>
              <w:tabs>
                <w:tab w:val="clear" w:pos="360"/>
              </w:tabs>
              <w:ind w:left="0"/>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表4-</w:t>
            </w:r>
            <w:r>
              <w:rPr>
                <w:rFonts w:hint="eastAsia" w:cs="Times New Roman"/>
                <w:b/>
                <w:bCs w:val="0"/>
                <w:color w:val="000000" w:themeColor="text1"/>
                <w:sz w:val="21"/>
                <w:szCs w:val="21"/>
                <w:highlight w:val="none"/>
                <w:lang w:val="en-US" w:eastAsia="zh-CN"/>
                <w14:textFill>
                  <w14:solidFill>
                    <w14:schemeClr w14:val="tx1"/>
                  </w14:solidFill>
                </w14:textFill>
              </w:rPr>
              <w:t xml:space="preserve">10 </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项目噪声预测结果与达标分析</w:t>
            </w:r>
          </w:p>
          <w:tbl>
            <w:tblPr>
              <w:tblStyle w:val="58"/>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350"/>
              <w:gridCol w:w="1444"/>
              <w:gridCol w:w="1006"/>
              <w:gridCol w:w="950"/>
              <w:gridCol w:w="1066"/>
              <w:gridCol w:w="1050"/>
              <w:gridCol w:w="1372"/>
              <w:gridCol w:w="1"/>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25" w:type="dxa"/>
                  <w:vMerge w:val="restart"/>
                  <w:vAlign w:val="center"/>
                </w:tcPr>
                <w:p>
                  <w:pPr>
                    <w:pStyle w:val="182"/>
                    <w:spacing w:line="460" w:lineRule="exact"/>
                    <w:ind w:left="0" w:leftChars="0" w:firstLine="0" w:firstLineChars="0"/>
                    <w:jc w:val="center"/>
                    <w:rPr>
                      <w:rFonts w:hint="eastAsia" w:ascii="Times New Roman" w:hAnsi="Times New Roman" w:cs="Times New Roman"/>
                      <w:b/>
                      <w:bCs/>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cs="Times New Roman"/>
                      <w:b/>
                      <w:bCs/>
                      <w:color w:val="000000" w:themeColor="text1"/>
                      <w:kern w:val="2"/>
                      <w:sz w:val="21"/>
                      <w:szCs w:val="21"/>
                      <w:highlight w:val="none"/>
                      <w:vertAlign w:val="baseline"/>
                      <w:lang w:eastAsia="zh-CN"/>
                      <w14:textFill>
                        <w14:solidFill>
                          <w14:schemeClr w14:val="tx1"/>
                        </w14:solidFill>
                      </w14:textFill>
                    </w:rPr>
                    <w:t>序号</w:t>
                  </w:r>
                </w:p>
              </w:tc>
              <w:tc>
                <w:tcPr>
                  <w:tcW w:w="1350" w:type="dxa"/>
                  <w:vMerge w:val="restart"/>
                  <w:vAlign w:val="center"/>
                </w:tcPr>
                <w:p>
                  <w:pPr>
                    <w:pStyle w:val="182"/>
                    <w:spacing w:line="460" w:lineRule="exact"/>
                    <w:ind w:left="0" w:leftChars="0" w:firstLine="0" w:firstLineChars="0"/>
                    <w:jc w:val="center"/>
                    <w:rPr>
                      <w:rFonts w:hint="eastAsia"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声环境保护目标名称</w:t>
                  </w:r>
                </w:p>
              </w:tc>
              <w:tc>
                <w:tcPr>
                  <w:tcW w:w="1444" w:type="dxa"/>
                  <w:vMerge w:val="restart"/>
                  <w:vAlign w:val="center"/>
                </w:tcPr>
                <w:p>
                  <w:pPr>
                    <w:pStyle w:val="182"/>
                    <w:spacing w:line="460" w:lineRule="exact"/>
                    <w:ind w:left="0" w:leftChars="0" w:firstLine="0" w:firstLineChars="0"/>
                    <w:jc w:val="center"/>
                    <w:rPr>
                      <w:rFonts w:hint="eastAsia"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距离厂界距离（</w:t>
                  </w:r>
                  <w:r>
                    <w:rPr>
                      <w:rFonts w:hint="eastAsia"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t>m</w:t>
                  </w:r>
                  <w:r>
                    <w:rPr>
                      <w:rFonts w:hint="eastAsia"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w:t>
                  </w:r>
                </w:p>
              </w:tc>
              <w:tc>
                <w:tcPr>
                  <w:tcW w:w="1956" w:type="dxa"/>
                  <w:gridSpan w:val="2"/>
                  <w:vAlign w:val="center"/>
                </w:tcPr>
                <w:p>
                  <w:pPr>
                    <w:pStyle w:val="182"/>
                    <w:spacing w:line="460" w:lineRule="exact"/>
                    <w:ind w:left="0" w:leftChars="0" w:firstLine="0" w:firstLineChars="0"/>
                    <w:jc w:val="cente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噪声标准/dB(A)</w:t>
                  </w:r>
                </w:p>
              </w:tc>
              <w:tc>
                <w:tcPr>
                  <w:tcW w:w="2116" w:type="dxa"/>
                  <w:gridSpan w:val="2"/>
                  <w:vAlign w:val="center"/>
                </w:tcPr>
                <w:p>
                  <w:pPr>
                    <w:pStyle w:val="182"/>
                    <w:spacing w:line="460" w:lineRule="exact"/>
                    <w:ind w:left="0" w:leftChars="0" w:firstLine="0" w:firstLineChars="0"/>
                    <w:jc w:val="center"/>
                    <w:rPr>
                      <w:rFonts w:hint="eastAsia" w:ascii="Times New Roman" w:hAnsi="Times New Roman" w:eastAsia="宋体" w:cs="Times New Roman"/>
                      <w:color w:val="auto"/>
                      <w:kern w:val="2"/>
                      <w:sz w:val="21"/>
                      <w:szCs w:val="21"/>
                      <w:highlight w:val="none"/>
                      <w:vertAlign w:val="baseline"/>
                      <w:lang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噪声贡献值/dB(A)</w:t>
                  </w:r>
                </w:p>
              </w:tc>
              <w:tc>
                <w:tcPr>
                  <w:tcW w:w="2447" w:type="dxa"/>
                  <w:gridSpan w:val="3"/>
                  <w:vAlign w:val="center"/>
                </w:tcPr>
                <w:p>
                  <w:pPr>
                    <w:pStyle w:val="182"/>
                    <w:spacing w:line="460" w:lineRule="exact"/>
                    <w:ind w:left="0" w:leftChars="0" w:firstLine="0" w:firstLineChars="0"/>
                    <w:jc w:val="center"/>
                    <w:rPr>
                      <w:rFonts w:hint="eastAsia" w:ascii="Times New Roman" w:hAnsi="Times New Roman" w:eastAsia="宋体" w:cs="Times New Roman"/>
                      <w:color w:val="auto"/>
                      <w:kern w:val="2"/>
                      <w:sz w:val="21"/>
                      <w:szCs w:val="21"/>
                      <w:highlight w:val="none"/>
                      <w:vertAlign w:val="baseline"/>
                      <w:lang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超标和达标情况/dB(A)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5" w:type="dxa"/>
                  <w:vMerge w:val="continue"/>
                  <w:vAlign w:val="center"/>
                </w:tcPr>
                <w:p>
                  <w:pPr>
                    <w:pStyle w:val="182"/>
                    <w:spacing w:line="460" w:lineRule="exact"/>
                    <w:ind w:left="0" w:leftChars="0" w:firstLine="0" w:firstLineChars="0"/>
                    <w:jc w:val="center"/>
                    <w:rPr>
                      <w:color w:val="000000" w:themeColor="text1"/>
                      <w:sz w:val="21"/>
                      <w:szCs w:val="21"/>
                      <w14:textFill>
                        <w14:solidFill>
                          <w14:schemeClr w14:val="tx1"/>
                        </w14:solidFill>
                      </w14:textFill>
                    </w:rPr>
                  </w:pPr>
                </w:p>
              </w:tc>
              <w:tc>
                <w:tcPr>
                  <w:tcW w:w="1350" w:type="dxa"/>
                  <w:vMerge w:val="continue"/>
                  <w:vAlign w:val="center"/>
                </w:tcPr>
                <w:p>
                  <w:pPr>
                    <w:pStyle w:val="182"/>
                    <w:spacing w:line="460" w:lineRule="exact"/>
                    <w:ind w:left="0" w:leftChars="0" w:firstLine="0" w:firstLineChars="0"/>
                    <w:jc w:val="center"/>
                    <w:rPr>
                      <w:color w:val="000000" w:themeColor="text1"/>
                      <w:sz w:val="21"/>
                      <w:szCs w:val="21"/>
                      <w14:textFill>
                        <w14:solidFill>
                          <w14:schemeClr w14:val="tx1"/>
                        </w14:solidFill>
                      </w14:textFill>
                    </w:rPr>
                  </w:pPr>
                </w:p>
              </w:tc>
              <w:tc>
                <w:tcPr>
                  <w:tcW w:w="1444" w:type="dxa"/>
                  <w:vMerge w:val="continue"/>
                  <w:vAlign w:val="center"/>
                </w:tcPr>
                <w:p>
                  <w:pPr>
                    <w:pStyle w:val="182"/>
                    <w:spacing w:line="460" w:lineRule="exact"/>
                    <w:ind w:left="0" w:leftChars="0" w:firstLine="0" w:firstLineChars="0"/>
                    <w:jc w:val="center"/>
                    <w:rPr>
                      <w:color w:val="000000" w:themeColor="text1"/>
                      <w:sz w:val="21"/>
                      <w:szCs w:val="21"/>
                      <w14:textFill>
                        <w14:solidFill>
                          <w14:schemeClr w14:val="tx1"/>
                        </w14:solidFill>
                      </w14:textFill>
                    </w:rPr>
                  </w:pPr>
                </w:p>
              </w:tc>
              <w:tc>
                <w:tcPr>
                  <w:tcW w:w="1006" w:type="dxa"/>
                  <w:vAlign w:val="center"/>
                </w:tcPr>
                <w:p>
                  <w:pPr>
                    <w:pStyle w:val="182"/>
                    <w:spacing w:line="460" w:lineRule="exact"/>
                    <w:ind w:left="0" w:leftChars="0" w:firstLine="0" w:firstLineChars="0"/>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昼间</w:t>
                  </w:r>
                </w:p>
              </w:tc>
              <w:tc>
                <w:tcPr>
                  <w:tcW w:w="950" w:type="dxa"/>
                  <w:vAlign w:val="center"/>
                </w:tcPr>
                <w:p>
                  <w:pPr>
                    <w:pStyle w:val="182"/>
                    <w:spacing w:line="460" w:lineRule="exact"/>
                    <w:ind w:left="0" w:leftChars="0" w:firstLine="0" w:firstLineChars="0"/>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夜间</w:t>
                  </w:r>
                </w:p>
              </w:tc>
              <w:tc>
                <w:tcPr>
                  <w:tcW w:w="1066" w:type="dxa"/>
                  <w:vAlign w:val="center"/>
                </w:tcPr>
                <w:p>
                  <w:pPr>
                    <w:pStyle w:val="182"/>
                    <w:spacing w:line="460" w:lineRule="exact"/>
                    <w:ind w:left="0" w:leftChars="0" w:firstLine="0" w:firstLineChars="0"/>
                    <w:jc w:val="center"/>
                    <w:rPr>
                      <w:b/>
                      <w:bCs/>
                      <w:color w:val="auto"/>
                      <w:sz w:val="21"/>
                      <w:szCs w:val="21"/>
                    </w:rPr>
                  </w:pPr>
                  <w:r>
                    <w:rPr>
                      <w:rFonts w:hint="eastAsia"/>
                      <w:b/>
                      <w:bCs/>
                      <w:color w:val="auto"/>
                      <w:sz w:val="21"/>
                      <w:szCs w:val="21"/>
                      <w:lang w:eastAsia="zh-CN"/>
                    </w:rPr>
                    <w:t>昼间</w:t>
                  </w:r>
                </w:p>
              </w:tc>
              <w:tc>
                <w:tcPr>
                  <w:tcW w:w="1050" w:type="dxa"/>
                  <w:vAlign w:val="center"/>
                </w:tcPr>
                <w:p>
                  <w:pPr>
                    <w:pStyle w:val="182"/>
                    <w:spacing w:line="460" w:lineRule="exact"/>
                    <w:ind w:left="0" w:leftChars="0" w:firstLine="0" w:firstLineChars="0"/>
                    <w:jc w:val="center"/>
                    <w:rPr>
                      <w:b/>
                      <w:bCs/>
                      <w:color w:val="auto"/>
                      <w:sz w:val="21"/>
                      <w:szCs w:val="21"/>
                    </w:rPr>
                  </w:pPr>
                  <w:r>
                    <w:rPr>
                      <w:rFonts w:hint="eastAsia"/>
                      <w:b/>
                      <w:bCs/>
                      <w:color w:val="auto"/>
                      <w:sz w:val="21"/>
                      <w:szCs w:val="21"/>
                      <w:lang w:eastAsia="zh-CN"/>
                    </w:rPr>
                    <w:t>夜间</w:t>
                  </w:r>
                </w:p>
              </w:tc>
              <w:tc>
                <w:tcPr>
                  <w:tcW w:w="1372" w:type="dxa"/>
                  <w:vAlign w:val="center"/>
                </w:tcPr>
                <w:p>
                  <w:pPr>
                    <w:pStyle w:val="182"/>
                    <w:spacing w:line="460" w:lineRule="exact"/>
                    <w:ind w:left="0" w:leftChars="0" w:firstLine="0" w:firstLineChars="0"/>
                    <w:jc w:val="center"/>
                    <w:rPr>
                      <w:b/>
                      <w:bCs/>
                      <w:color w:val="auto"/>
                      <w:sz w:val="21"/>
                      <w:szCs w:val="21"/>
                    </w:rPr>
                  </w:pPr>
                  <w:r>
                    <w:rPr>
                      <w:rFonts w:hint="eastAsia"/>
                      <w:b/>
                      <w:bCs/>
                      <w:color w:val="auto"/>
                      <w:sz w:val="21"/>
                      <w:szCs w:val="21"/>
                      <w:lang w:eastAsia="zh-CN"/>
                    </w:rPr>
                    <w:t>昼间</w:t>
                  </w:r>
                </w:p>
              </w:tc>
              <w:tc>
                <w:tcPr>
                  <w:tcW w:w="1075" w:type="dxa"/>
                  <w:gridSpan w:val="2"/>
                  <w:vAlign w:val="center"/>
                </w:tcPr>
                <w:p>
                  <w:pPr>
                    <w:pStyle w:val="182"/>
                    <w:spacing w:line="460" w:lineRule="exact"/>
                    <w:ind w:left="0" w:leftChars="0" w:firstLine="0" w:firstLineChars="0"/>
                    <w:jc w:val="center"/>
                    <w:rPr>
                      <w:b/>
                      <w:bCs/>
                      <w:color w:val="auto"/>
                      <w:sz w:val="21"/>
                      <w:szCs w:val="21"/>
                    </w:rPr>
                  </w:pPr>
                  <w:r>
                    <w:rPr>
                      <w:rFonts w:hint="eastAsia"/>
                      <w:b/>
                      <w:bCs/>
                      <w:color w:val="auto"/>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1</w:t>
                  </w:r>
                </w:p>
              </w:tc>
              <w:tc>
                <w:tcPr>
                  <w:tcW w:w="1350" w:type="dxa"/>
                  <w:vAlign w:val="center"/>
                </w:tcPr>
                <w:p>
                  <w:pPr>
                    <w:pStyle w:val="182"/>
                    <w:spacing w:line="460" w:lineRule="exact"/>
                    <w:ind w:left="0" w:leftChars="0" w:firstLine="0" w:firstLineChars="0"/>
                    <w:jc w:val="cente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东厂界</w:t>
                  </w:r>
                </w:p>
              </w:tc>
              <w:tc>
                <w:tcPr>
                  <w:tcW w:w="1444"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68</w:t>
                  </w:r>
                </w:p>
              </w:tc>
              <w:tc>
                <w:tcPr>
                  <w:tcW w:w="1006"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65</w:t>
                  </w:r>
                </w:p>
              </w:tc>
              <w:tc>
                <w:tcPr>
                  <w:tcW w:w="950"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55</w:t>
                  </w:r>
                </w:p>
              </w:tc>
              <w:tc>
                <w:tcPr>
                  <w:tcW w:w="1066" w:type="dxa"/>
                  <w:vAlign w:val="center"/>
                </w:tcPr>
                <w:p>
                  <w:pPr>
                    <w:pStyle w:val="182"/>
                    <w:spacing w:line="460" w:lineRule="exact"/>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28.38</w:t>
                  </w:r>
                </w:p>
              </w:tc>
              <w:tc>
                <w:tcPr>
                  <w:tcW w:w="1050" w:type="dxa"/>
                  <w:vAlign w:val="center"/>
                </w:tcPr>
                <w:p>
                  <w:pPr>
                    <w:pStyle w:val="182"/>
                    <w:spacing w:line="460" w:lineRule="exact"/>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28.38</w:t>
                  </w:r>
                </w:p>
              </w:tc>
              <w:tc>
                <w:tcPr>
                  <w:tcW w:w="1373" w:type="dxa"/>
                  <w:gridSpan w:val="2"/>
                  <w:vAlign w:val="center"/>
                </w:tcPr>
                <w:p>
                  <w:pPr>
                    <w:pStyle w:val="182"/>
                    <w:spacing w:line="460" w:lineRule="exact"/>
                    <w:ind w:left="0" w:leftChars="0" w:firstLine="0" w:firstLineChars="0"/>
                    <w:jc w:val="center"/>
                    <w:rPr>
                      <w:rFonts w:hint="eastAsia" w:ascii="Times New Roman" w:hAnsi="Times New Roman" w:eastAsia="宋体" w:cs="Times New Roman"/>
                      <w:color w:val="auto"/>
                      <w:kern w:val="2"/>
                      <w:sz w:val="21"/>
                      <w:szCs w:val="21"/>
                      <w:highlight w:val="none"/>
                      <w:vertAlign w:val="baseline"/>
                      <w:lang w:eastAsia="zh-CN"/>
                    </w:rPr>
                  </w:pPr>
                  <w:r>
                    <w:rPr>
                      <w:rFonts w:hint="eastAsia" w:ascii="Times New Roman" w:hAnsi="Times New Roman" w:eastAsia="宋体" w:cs="Times New Roman"/>
                      <w:color w:val="auto"/>
                      <w:kern w:val="2"/>
                      <w:sz w:val="21"/>
                      <w:szCs w:val="21"/>
                      <w:highlight w:val="none"/>
                      <w:vertAlign w:val="baseline"/>
                      <w:lang w:eastAsia="zh-CN"/>
                    </w:rPr>
                    <w:t>达标</w:t>
                  </w:r>
                </w:p>
              </w:tc>
              <w:tc>
                <w:tcPr>
                  <w:tcW w:w="1074" w:type="dxa"/>
                  <w:vAlign w:val="center"/>
                </w:tcPr>
                <w:p>
                  <w:pPr>
                    <w:pStyle w:val="182"/>
                    <w:spacing w:line="460" w:lineRule="exact"/>
                    <w:ind w:left="0" w:leftChars="0" w:firstLine="0" w:firstLineChars="0"/>
                    <w:jc w:val="center"/>
                    <w:rPr>
                      <w:rFonts w:hint="eastAsia" w:ascii="Times New Roman" w:hAnsi="Times New Roman" w:eastAsia="宋体" w:cs="Times New Roman"/>
                      <w:color w:val="auto"/>
                      <w:kern w:val="2"/>
                      <w:sz w:val="21"/>
                      <w:szCs w:val="21"/>
                      <w:highlight w:val="none"/>
                      <w:vertAlign w:val="baseline"/>
                      <w:lang w:eastAsia="zh-CN"/>
                    </w:rPr>
                  </w:pPr>
                  <w:r>
                    <w:rPr>
                      <w:rFonts w:hint="eastAsia" w:ascii="Times New Roman" w:hAnsi="Times New Roman" w:eastAsia="宋体" w:cs="Times New Roman"/>
                      <w:color w:val="auto"/>
                      <w:kern w:val="2"/>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2</w:t>
                  </w:r>
                </w:p>
              </w:tc>
              <w:tc>
                <w:tcPr>
                  <w:tcW w:w="1350" w:type="dxa"/>
                  <w:vAlign w:val="center"/>
                </w:tcPr>
                <w:p>
                  <w:pPr>
                    <w:pStyle w:val="182"/>
                    <w:spacing w:line="460" w:lineRule="exact"/>
                    <w:ind w:left="0" w:leftChars="0" w:firstLine="0" w:firstLineChars="0"/>
                    <w:jc w:val="cente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南厂界</w:t>
                  </w:r>
                </w:p>
              </w:tc>
              <w:tc>
                <w:tcPr>
                  <w:tcW w:w="1444"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3</w:t>
                  </w:r>
                </w:p>
              </w:tc>
              <w:tc>
                <w:tcPr>
                  <w:tcW w:w="1006" w:type="dxa"/>
                  <w:vAlign w:val="center"/>
                </w:tcPr>
                <w:p>
                  <w:pPr>
                    <w:pStyle w:val="182"/>
                    <w:spacing w:line="460" w:lineRule="exact"/>
                    <w:ind w:left="0" w:leftChars="0" w:firstLine="0" w:firstLineChars="0"/>
                    <w:jc w:val="cente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65</w:t>
                  </w:r>
                </w:p>
              </w:tc>
              <w:tc>
                <w:tcPr>
                  <w:tcW w:w="950" w:type="dxa"/>
                  <w:vAlign w:val="center"/>
                </w:tcPr>
                <w:p>
                  <w:pPr>
                    <w:pStyle w:val="182"/>
                    <w:spacing w:line="460" w:lineRule="exact"/>
                    <w:ind w:left="0" w:leftChars="0" w:firstLine="0" w:firstLineChars="0"/>
                    <w:jc w:val="cente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55</w:t>
                  </w:r>
                </w:p>
              </w:tc>
              <w:tc>
                <w:tcPr>
                  <w:tcW w:w="1066" w:type="dxa"/>
                  <w:vAlign w:val="center"/>
                </w:tcPr>
                <w:p>
                  <w:pPr>
                    <w:pStyle w:val="182"/>
                    <w:spacing w:line="460" w:lineRule="exact"/>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41.67</w:t>
                  </w:r>
                </w:p>
              </w:tc>
              <w:tc>
                <w:tcPr>
                  <w:tcW w:w="1050" w:type="dxa"/>
                  <w:vAlign w:val="center"/>
                </w:tcPr>
                <w:p>
                  <w:pPr>
                    <w:pStyle w:val="182"/>
                    <w:spacing w:line="460" w:lineRule="exact"/>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41.67</w:t>
                  </w:r>
                </w:p>
              </w:tc>
              <w:tc>
                <w:tcPr>
                  <w:tcW w:w="1373" w:type="dxa"/>
                  <w:gridSpan w:val="2"/>
                  <w:vAlign w:val="center"/>
                </w:tcPr>
                <w:p>
                  <w:pPr>
                    <w:pStyle w:val="182"/>
                    <w:spacing w:line="460" w:lineRule="exact"/>
                    <w:ind w:left="0" w:leftChars="0" w:firstLine="0" w:firstLineChars="0"/>
                    <w:jc w:val="center"/>
                    <w:rPr>
                      <w:rFonts w:hint="eastAsia" w:ascii="Times New Roman" w:hAnsi="Times New Roman" w:eastAsia="宋体" w:cs="Times New Roman"/>
                      <w:color w:val="auto"/>
                      <w:kern w:val="2"/>
                      <w:sz w:val="21"/>
                      <w:szCs w:val="21"/>
                      <w:highlight w:val="none"/>
                      <w:vertAlign w:val="baseline"/>
                      <w:lang w:eastAsia="zh-CN"/>
                    </w:rPr>
                  </w:pPr>
                  <w:r>
                    <w:rPr>
                      <w:rFonts w:hint="eastAsia" w:ascii="Times New Roman" w:hAnsi="Times New Roman" w:eastAsia="宋体" w:cs="Times New Roman"/>
                      <w:color w:val="auto"/>
                      <w:kern w:val="2"/>
                      <w:sz w:val="21"/>
                      <w:szCs w:val="21"/>
                      <w:highlight w:val="none"/>
                      <w:vertAlign w:val="baseline"/>
                      <w:lang w:eastAsia="zh-CN"/>
                    </w:rPr>
                    <w:t>达标</w:t>
                  </w:r>
                </w:p>
              </w:tc>
              <w:tc>
                <w:tcPr>
                  <w:tcW w:w="1074" w:type="dxa"/>
                  <w:vAlign w:val="center"/>
                </w:tcPr>
                <w:p>
                  <w:pPr>
                    <w:pStyle w:val="182"/>
                    <w:spacing w:line="460" w:lineRule="exact"/>
                    <w:ind w:left="0" w:leftChars="0" w:firstLine="0" w:firstLineChars="0"/>
                    <w:jc w:val="center"/>
                    <w:rPr>
                      <w:rFonts w:hint="eastAsia" w:ascii="Times New Roman" w:hAnsi="Times New Roman" w:eastAsia="宋体" w:cs="Times New Roman"/>
                      <w:color w:val="auto"/>
                      <w:kern w:val="2"/>
                      <w:sz w:val="21"/>
                      <w:szCs w:val="21"/>
                      <w:highlight w:val="none"/>
                      <w:vertAlign w:val="baseline"/>
                      <w:lang w:eastAsia="zh-CN"/>
                    </w:rPr>
                  </w:pPr>
                  <w:r>
                    <w:rPr>
                      <w:rFonts w:hint="eastAsia" w:ascii="Times New Roman" w:hAnsi="Times New Roman" w:eastAsia="宋体" w:cs="Times New Roman"/>
                      <w:color w:val="auto"/>
                      <w:kern w:val="2"/>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3</w:t>
                  </w:r>
                </w:p>
              </w:tc>
              <w:tc>
                <w:tcPr>
                  <w:tcW w:w="1350" w:type="dxa"/>
                  <w:vAlign w:val="center"/>
                </w:tcPr>
                <w:p>
                  <w:pPr>
                    <w:pStyle w:val="182"/>
                    <w:spacing w:line="460" w:lineRule="exact"/>
                    <w:ind w:left="0" w:leftChars="0" w:firstLine="0" w:firstLineChars="0"/>
                    <w:jc w:val="cente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西厂界</w:t>
                  </w:r>
                </w:p>
              </w:tc>
              <w:tc>
                <w:tcPr>
                  <w:tcW w:w="1444"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10</w:t>
                  </w:r>
                </w:p>
              </w:tc>
              <w:tc>
                <w:tcPr>
                  <w:tcW w:w="1006"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65</w:t>
                  </w:r>
                </w:p>
              </w:tc>
              <w:tc>
                <w:tcPr>
                  <w:tcW w:w="950"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55</w:t>
                  </w:r>
                </w:p>
              </w:tc>
              <w:tc>
                <w:tcPr>
                  <w:tcW w:w="1066" w:type="dxa"/>
                  <w:vAlign w:val="center"/>
                </w:tcPr>
                <w:p>
                  <w:pPr>
                    <w:pStyle w:val="182"/>
                    <w:spacing w:line="460" w:lineRule="exact"/>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47.27</w:t>
                  </w:r>
                </w:p>
              </w:tc>
              <w:tc>
                <w:tcPr>
                  <w:tcW w:w="1050" w:type="dxa"/>
                  <w:vAlign w:val="center"/>
                </w:tcPr>
                <w:p>
                  <w:pPr>
                    <w:pStyle w:val="182"/>
                    <w:spacing w:line="460" w:lineRule="exact"/>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47.27</w:t>
                  </w:r>
                </w:p>
              </w:tc>
              <w:tc>
                <w:tcPr>
                  <w:tcW w:w="1373" w:type="dxa"/>
                  <w:gridSpan w:val="2"/>
                  <w:vAlign w:val="center"/>
                </w:tcPr>
                <w:p>
                  <w:pPr>
                    <w:pStyle w:val="182"/>
                    <w:spacing w:line="460" w:lineRule="exact"/>
                    <w:ind w:left="0" w:leftChars="0" w:firstLine="0" w:firstLineChars="0"/>
                    <w:jc w:val="center"/>
                    <w:rPr>
                      <w:rFonts w:hint="eastAsia" w:ascii="Times New Roman" w:hAnsi="Times New Roman" w:eastAsia="宋体" w:cs="Times New Roman"/>
                      <w:color w:val="auto"/>
                      <w:kern w:val="2"/>
                      <w:sz w:val="21"/>
                      <w:szCs w:val="21"/>
                      <w:highlight w:val="none"/>
                      <w:vertAlign w:val="baseline"/>
                      <w:lang w:eastAsia="zh-CN"/>
                    </w:rPr>
                  </w:pPr>
                  <w:r>
                    <w:rPr>
                      <w:rFonts w:hint="eastAsia" w:ascii="Times New Roman" w:hAnsi="Times New Roman" w:eastAsia="宋体" w:cs="Times New Roman"/>
                      <w:color w:val="auto"/>
                      <w:kern w:val="2"/>
                      <w:sz w:val="21"/>
                      <w:szCs w:val="21"/>
                      <w:highlight w:val="none"/>
                      <w:vertAlign w:val="baseline"/>
                      <w:lang w:eastAsia="zh-CN"/>
                    </w:rPr>
                    <w:t>达标</w:t>
                  </w:r>
                </w:p>
              </w:tc>
              <w:tc>
                <w:tcPr>
                  <w:tcW w:w="1074" w:type="dxa"/>
                  <w:vAlign w:val="center"/>
                </w:tcPr>
                <w:p>
                  <w:pPr>
                    <w:pStyle w:val="182"/>
                    <w:spacing w:line="460" w:lineRule="exact"/>
                    <w:ind w:left="0" w:leftChars="0" w:firstLine="0" w:firstLineChars="0"/>
                    <w:jc w:val="center"/>
                    <w:rPr>
                      <w:rFonts w:hint="eastAsia" w:ascii="Times New Roman" w:hAnsi="Times New Roman" w:eastAsia="宋体" w:cs="Times New Roman"/>
                      <w:color w:val="auto"/>
                      <w:kern w:val="2"/>
                      <w:sz w:val="21"/>
                      <w:szCs w:val="21"/>
                      <w:highlight w:val="none"/>
                      <w:vertAlign w:val="baseline"/>
                      <w:lang w:eastAsia="zh-CN"/>
                    </w:rPr>
                  </w:pPr>
                  <w:r>
                    <w:rPr>
                      <w:rFonts w:hint="eastAsia" w:ascii="Times New Roman" w:hAnsi="Times New Roman" w:eastAsia="宋体" w:cs="Times New Roman"/>
                      <w:color w:val="auto"/>
                      <w:kern w:val="2"/>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4</w:t>
                  </w:r>
                </w:p>
              </w:tc>
              <w:tc>
                <w:tcPr>
                  <w:tcW w:w="1350" w:type="dxa"/>
                  <w:vAlign w:val="center"/>
                </w:tcPr>
                <w:p>
                  <w:pPr>
                    <w:pStyle w:val="182"/>
                    <w:spacing w:line="460" w:lineRule="exact"/>
                    <w:ind w:left="0" w:leftChars="0" w:firstLine="0" w:firstLineChars="0"/>
                    <w:jc w:val="cente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北厂界</w:t>
                  </w:r>
                </w:p>
              </w:tc>
              <w:tc>
                <w:tcPr>
                  <w:tcW w:w="1444" w:type="dxa"/>
                  <w:vAlign w:val="center"/>
                </w:tcPr>
                <w:p>
                  <w:pPr>
                    <w:pStyle w:val="182"/>
                    <w:spacing w:line="460" w:lineRule="exact"/>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10</w:t>
                  </w:r>
                </w:p>
              </w:tc>
              <w:tc>
                <w:tcPr>
                  <w:tcW w:w="1006" w:type="dxa"/>
                  <w:vAlign w:val="center"/>
                </w:tcPr>
                <w:p>
                  <w:pPr>
                    <w:pStyle w:val="182"/>
                    <w:spacing w:line="460" w:lineRule="exact"/>
                    <w:ind w:left="0" w:leftChars="0" w:firstLine="0" w:firstLineChars="0"/>
                    <w:jc w:val="cente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65</w:t>
                  </w:r>
                </w:p>
              </w:tc>
              <w:tc>
                <w:tcPr>
                  <w:tcW w:w="950" w:type="dxa"/>
                  <w:vAlign w:val="center"/>
                </w:tcPr>
                <w:p>
                  <w:pPr>
                    <w:pStyle w:val="182"/>
                    <w:spacing w:line="460" w:lineRule="exact"/>
                    <w:ind w:left="0" w:leftChars="0" w:firstLine="0" w:firstLineChars="0"/>
                    <w:jc w:val="center"/>
                    <w:rPr>
                      <w:rFonts w:hint="eastAsia"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55</w:t>
                  </w:r>
                </w:p>
              </w:tc>
              <w:tc>
                <w:tcPr>
                  <w:tcW w:w="1066" w:type="dxa"/>
                  <w:vAlign w:val="center"/>
                </w:tcPr>
                <w:p>
                  <w:pPr>
                    <w:pStyle w:val="182"/>
                    <w:spacing w:line="460" w:lineRule="exact"/>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42.6</w:t>
                  </w:r>
                </w:p>
              </w:tc>
              <w:tc>
                <w:tcPr>
                  <w:tcW w:w="1050" w:type="dxa"/>
                  <w:vAlign w:val="center"/>
                </w:tcPr>
                <w:p>
                  <w:pPr>
                    <w:pStyle w:val="182"/>
                    <w:spacing w:line="460" w:lineRule="exact"/>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42.6</w:t>
                  </w:r>
                </w:p>
              </w:tc>
              <w:tc>
                <w:tcPr>
                  <w:tcW w:w="1373" w:type="dxa"/>
                  <w:gridSpan w:val="2"/>
                  <w:vAlign w:val="center"/>
                </w:tcPr>
                <w:p>
                  <w:pPr>
                    <w:pStyle w:val="182"/>
                    <w:spacing w:line="460" w:lineRule="exact"/>
                    <w:ind w:left="0" w:leftChars="0" w:firstLine="0" w:firstLineChars="0"/>
                    <w:jc w:val="center"/>
                    <w:rPr>
                      <w:rFonts w:hint="eastAsia" w:ascii="Times New Roman" w:hAnsi="Times New Roman" w:eastAsia="宋体" w:cs="Times New Roman"/>
                      <w:color w:val="auto"/>
                      <w:kern w:val="2"/>
                      <w:sz w:val="21"/>
                      <w:szCs w:val="21"/>
                      <w:highlight w:val="none"/>
                      <w:vertAlign w:val="baseline"/>
                      <w:lang w:eastAsia="zh-CN"/>
                    </w:rPr>
                  </w:pPr>
                  <w:r>
                    <w:rPr>
                      <w:rFonts w:hint="eastAsia" w:ascii="Times New Roman" w:hAnsi="Times New Roman" w:eastAsia="宋体" w:cs="Times New Roman"/>
                      <w:color w:val="auto"/>
                      <w:kern w:val="2"/>
                      <w:sz w:val="21"/>
                      <w:szCs w:val="21"/>
                      <w:highlight w:val="none"/>
                      <w:vertAlign w:val="baseline"/>
                      <w:lang w:eastAsia="zh-CN"/>
                    </w:rPr>
                    <w:t>达标</w:t>
                  </w:r>
                </w:p>
              </w:tc>
              <w:tc>
                <w:tcPr>
                  <w:tcW w:w="1074" w:type="dxa"/>
                  <w:vAlign w:val="center"/>
                </w:tcPr>
                <w:p>
                  <w:pPr>
                    <w:pStyle w:val="182"/>
                    <w:spacing w:line="460" w:lineRule="exact"/>
                    <w:ind w:left="0" w:leftChars="0" w:firstLine="0" w:firstLineChars="0"/>
                    <w:jc w:val="center"/>
                    <w:rPr>
                      <w:rFonts w:hint="eastAsia" w:ascii="Times New Roman" w:hAnsi="Times New Roman" w:eastAsia="宋体" w:cs="Times New Roman"/>
                      <w:color w:val="auto"/>
                      <w:kern w:val="2"/>
                      <w:sz w:val="21"/>
                      <w:szCs w:val="21"/>
                      <w:highlight w:val="none"/>
                      <w:vertAlign w:val="baseline"/>
                      <w:lang w:eastAsia="zh-CN"/>
                    </w:rPr>
                  </w:pPr>
                  <w:r>
                    <w:rPr>
                      <w:rFonts w:hint="eastAsia" w:ascii="Times New Roman" w:hAnsi="Times New Roman" w:eastAsia="宋体" w:cs="Times New Roman"/>
                      <w:color w:val="auto"/>
                      <w:kern w:val="2"/>
                      <w:sz w:val="21"/>
                      <w:szCs w:val="21"/>
                      <w:highlight w:val="none"/>
                      <w:vertAlign w:val="baseline"/>
                      <w:lang w:eastAsia="zh-CN"/>
                    </w:rPr>
                    <w:t>达标</w:t>
                  </w:r>
                </w:p>
              </w:tc>
            </w:tr>
          </w:tbl>
          <w:p>
            <w:pPr>
              <w:pStyle w:val="182"/>
              <w:spacing w:line="460" w:lineRule="exact"/>
              <w:ind w:firstLine="480" w:firstLineChars="20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根据预测结果可知，本项目设备运行噪声经厂房隔音、距离衰减等措施后，</w:t>
            </w: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其</w:t>
            </w: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昼间、夜间</w:t>
            </w: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噪声在厂区边界处能</w:t>
            </w:r>
            <w:r>
              <w:rPr>
                <w:rFonts w:hint="default" w:ascii="Times New Roman" w:hAnsi="Times New Roman" w:eastAsia="宋体" w:cs="Times New Roman"/>
                <w:color w:val="000000" w:themeColor="text1"/>
                <w:kern w:val="2"/>
                <w:szCs w:val="24"/>
                <w:highlight w:val="none"/>
                <w14:textFill>
                  <w14:solidFill>
                    <w14:schemeClr w14:val="tx1"/>
                  </w14:solidFill>
                </w14:textFill>
              </w:rPr>
              <w:t>满足《工业企业厂界环境噪声排放标准》（GB12348-2008）中</w:t>
            </w: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
                <w:szCs w:val="24"/>
                <w:highlight w:val="none"/>
                <w14:textFill>
                  <w14:solidFill>
                    <w14:schemeClr w14:val="tx1"/>
                  </w14:solidFill>
                </w14:textFill>
              </w:rPr>
              <w:t>类标准，对周边环境无明显影响。同时，为减轻项目设备噪声对内、外环境的影响，本评价要求：</w:t>
            </w:r>
          </w:p>
          <w:p>
            <w:pPr>
              <w:pStyle w:val="182"/>
              <w:spacing w:line="460" w:lineRule="exact"/>
              <w:ind w:firstLine="480" w:firstLineChars="20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（1）采购时优先采购低</w:t>
            </w:r>
            <w:r>
              <w:rPr>
                <w:rFonts w:hint="default" w:ascii="Times New Roman" w:hAnsi="Times New Roman" w:eastAsia="宋体" w:cs="Times New Roman"/>
                <w:color w:val="000000" w:themeColor="text1"/>
                <w:kern w:val="2"/>
                <w:szCs w:val="24"/>
                <w:highlight w:val="none"/>
                <w:lang w:eastAsia="zh-CN"/>
                <w14:textFill>
                  <w14:solidFill>
                    <w14:schemeClr w14:val="tx1"/>
                  </w14:solidFill>
                </w14:textFill>
              </w:rPr>
              <w:t>噪声</w:t>
            </w:r>
            <w:r>
              <w:rPr>
                <w:rFonts w:hint="default" w:ascii="Times New Roman" w:hAnsi="Times New Roman" w:eastAsia="宋体" w:cs="Times New Roman"/>
                <w:color w:val="000000" w:themeColor="text1"/>
                <w:kern w:val="2"/>
                <w:szCs w:val="24"/>
                <w:highlight w:val="none"/>
                <w14:textFill>
                  <w14:solidFill>
                    <w14:schemeClr w14:val="tx1"/>
                  </w14:solidFill>
                </w14:textFill>
              </w:rPr>
              <w:t>设备，可使得噪声对周边环境的影响进一步减小。</w:t>
            </w:r>
          </w:p>
          <w:p>
            <w:pPr>
              <w:pStyle w:val="182"/>
              <w:spacing w:line="460" w:lineRule="exact"/>
              <w:ind w:firstLine="480" w:firstLineChars="20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（2）采用基础减振措施，同时要对噪声设备的整体布局进行合理规划。</w:t>
            </w:r>
          </w:p>
          <w:p>
            <w:pPr>
              <w:pStyle w:val="182"/>
              <w:spacing w:line="460" w:lineRule="exact"/>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（3）厂房窗户应合理安排开关时间，对于厂房窗户建议安装双层玻璃。同时，厂房墙壁材料应加厚，进一步加强隔声效果。</w:t>
            </w:r>
          </w:p>
          <w:p>
            <w:pPr>
              <w:pStyle w:val="37"/>
              <w:adjustRightIn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（4）噪声监测计划</w:t>
            </w:r>
          </w:p>
          <w:p>
            <w:pPr>
              <w:snapToGrid w:val="0"/>
              <w:spacing w:line="360" w:lineRule="auto"/>
              <w:ind w:firstLine="480" w:firstLineChars="20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根</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《排污单位自行监测技术指南 总则》（HJ819-2017）</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制定</w:t>
            </w:r>
            <w:r>
              <w:rPr>
                <w:rFonts w:hint="default" w:ascii="Times New Roman" w:hAnsi="Times New Roman" w:eastAsia="宋体" w:cs="Times New Roman"/>
                <w:bCs/>
                <w:color w:val="000000" w:themeColor="text1"/>
                <w:sz w:val="24"/>
                <w:szCs w:val="24"/>
                <w14:textFill>
                  <w14:solidFill>
                    <w14:schemeClr w14:val="tx1"/>
                  </w14:solidFill>
                </w14:textFill>
              </w:rPr>
              <w:t>本项目噪声监测计划：</w:t>
            </w:r>
          </w:p>
          <w:p>
            <w:pPr>
              <w:adjustRightInd w:val="0"/>
              <w:snapToGrid w:val="0"/>
              <w:jc w:val="center"/>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表4-</w:t>
            </w:r>
            <w:r>
              <w:rPr>
                <w:rFonts w:hint="eastAsia" w:ascii="Times New Roman" w:hAnsi="Times New Roman" w:eastAsia="宋体" w:cs="Times New Roman"/>
                <w:b/>
                <w:bCs w:val="0"/>
                <w:color w:val="000000" w:themeColor="text1"/>
                <w:lang w:val="en-US" w:eastAsia="zh-CN"/>
                <w14:textFill>
                  <w14:solidFill>
                    <w14:schemeClr w14:val="tx1"/>
                  </w14:solidFill>
                </w14:textFill>
              </w:rPr>
              <w:t xml:space="preserve">11 </w:t>
            </w:r>
            <w:r>
              <w:rPr>
                <w:rFonts w:hint="default" w:ascii="Times New Roman" w:hAnsi="Times New Roman" w:eastAsia="宋体" w:cs="Times New Roman"/>
                <w:b/>
                <w:bCs w:val="0"/>
                <w:color w:val="000000" w:themeColor="text1"/>
                <w14:textFill>
                  <w14:solidFill>
                    <w14:schemeClr w14:val="tx1"/>
                  </w14:solidFill>
                </w14:textFill>
              </w:rPr>
              <w:t>项目噪声监测计划</w:t>
            </w:r>
          </w:p>
          <w:tbl>
            <w:tblPr>
              <w:tblStyle w:val="57"/>
              <w:tblW w:w="11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167"/>
              <w:gridCol w:w="2156"/>
              <w:gridCol w:w="7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监测点位</w:t>
                  </w:r>
                </w:p>
              </w:tc>
              <w:tc>
                <w:tcPr>
                  <w:tcW w:w="1167"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rPr>
                      <w:rFonts w:hint="default" w:ascii="Times New Roman" w:hAnsi="Times New Roman" w:eastAsia="宋体" w:cs="Times New Roman"/>
                      <w:b/>
                      <w:bCs/>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监测指标</w:t>
                  </w:r>
                </w:p>
              </w:tc>
              <w:tc>
                <w:tcPr>
                  <w:tcW w:w="2156"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rPr>
                      <w:rFonts w:hint="eastAsia" w:ascii="Times New Roman" w:hAnsi="Times New Roman" w:eastAsia="宋体" w:cs="Times New Roman"/>
                      <w:b/>
                      <w:bCs/>
                      <w:color w:val="000000" w:themeColor="text1"/>
                      <w:lang w:eastAsia="zh-CN"/>
                      <w14:textFill>
                        <w14:solidFill>
                          <w14:schemeClr w14:val="tx1"/>
                        </w14:solidFill>
                      </w14:textFill>
                    </w:rPr>
                  </w:pPr>
                  <w:r>
                    <w:rPr>
                      <w:rFonts w:hint="eastAsia" w:ascii="Times New Roman" w:hAnsi="Times New Roman" w:eastAsia="宋体" w:cs="Times New Roman"/>
                      <w:b/>
                      <w:bCs/>
                      <w:color w:val="000000" w:themeColor="text1"/>
                      <w:lang w:eastAsia="zh-CN"/>
                      <w14:textFill>
                        <w14:solidFill>
                          <w14:schemeClr w14:val="tx1"/>
                        </w14:solidFill>
                      </w14:textFill>
                    </w:rPr>
                    <w:t>监测频次</w:t>
                  </w:r>
                </w:p>
              </w:tc>
              <w:tc>
                <w:tcPr>
                  <w:tcW w:w="70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380" w:type="dxa"/>
                  <w:tcBorders>
                    <w:top w:val="single" w:color="auto" w:sz="4" w:space="0"/>
                    <w:left w:val="single" w:color="auto" w:sz="4" w:space="0"/>
                    <w:right w:val="single" w:color="auto" w:sz="4" w:space="0"/>
                  </w:tcBorders>
                  <w:vAlign w:val="center"/>
                </w:tcPr>
                <w:p>
                  <w:pPr>
                    <w:snapToGrid w:val="0"/>
                    <w:spacing w:line="240" w:lineRule="atLeas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厂界外1m</w:t>
                  </w:r>
                </w:p>
              </w:tc>
              <w:tc>
                <w:tcPr>
                  <w:tcW w:w="1167" w:type="dxa"/>
                  <w:tcBorders>
                    <w:top w:val="single" w:color="auto" w:sz="4" w:space="0"/>
                    <w:left w:val="single" w:color="auto" w:sz="4" w:space="0"/>
                    <w:right w:val="single" w:color="auto" w:sz="4" w:space="0"/>
                  </w:tcBorders>
                  <w:vAlign w:val="center"/>
                </w:tcPr>
                <w:p>
                  <w:pPr>
                    <w:snapToGrid w:val="0"/>
                    <w:spacing w:line="240" w:lineRule="atLeast"/>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w:t>
                  </w:r>
                </w:p>
              </w:tc>
              <w:tc>
                <w:tcPr>
                  <w:tcW w:w="2156" w:type="dxa"/>
                  <w:tcBorders>
                    <w:top w:val="single" w:color="auto" w:sz="4" w:space="0"/>
                    <w:left w:val="single" w:color="auto" w:sz="4" w:space="0"/>
                    <w:right w:val="single" w:color="auto" w:sz="4" w:space="0"/>
                  </w:tcBorders>
                  <w:vAlign w:val="center"/>
                </w:tcPr>
                <w:p>
                  <w:pPr>
                    <w:snapToGrid w:val="0"/>
                    <w:spacing w:line="240" w:lineRule="atLeast"/>
                    <w:jc w:val="center"/>
                    <w:rPr>
                      <w:rFonts w:hint="eastAsia" w:ascii="Times New Roman" w:hAnsi="Times New Roman" w:eastAsia="宋体" w:cs="Times New Roman"/>
                      <w:color w:val="000000" w:themeColor="text1"/>
                      <w:lang w:eastAsia="zh-CN"/>
                      <w14:textFill>
                        <w14:solidFill>
                          <w14:schemeClr w14:val="tx1"/>
                        </w14:solidFill>
                      </w14:textFill>
                    </w:rPr>
                  </w:pPr>
                  <w:r>
                    <w:rPr>
                      <w:color w:val="000000" w:themeColor="text1"/>
                      <w:highlight w:val="none"/>
                      <w14:textFill>
                        <w14:solidFill>
                          <w14:schemeClr w14:val="tx1"/>
                        </w14:solidFill>
                      </w14:textFill>
                    </w:rPr>
                    <w:t>1次/季，昼夜各1次</w:t>
                  </w:r>
                </w:p>
              </w:tc>
              <w:tc>
                <w:tcPr>
                  <w:tcW w:w="70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厂界</w:t>
                  </w:r>
                  <w:r>
                    <w:rPr>
                      <w:rFonts w:hint="default" w:ascii="Times New Roman" w:hAnsi="Times New Roman" w:eastAsia="宋体" w:cs="Times New Roman"/>
                      <w:color w:val="000000" w:themeColor="text1"/>
                      <w14:textFill>
                        <w14:solidFill>
                          <w14:schemeClr w14:val="tx1"/>
                        </w14:solidFill>
                      </w14:textFill>
                    </w:rPr>
                    <w:t>执行《工业企业厂界环境噪声排放标准》（GB12348-2008）</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类标准</w:t>
                  </w:r>
                </w:p>
              </w:tc>
            </w:tr>
          </w:tbl>
          <w:p>
            <w:pPr>
              <w:adjustRightInd w:val="0"/>
              <w:snapToGrid w:val="0"/>
              <w:spacing w:line="360" w:lineRule="auto"/>
              <w:ind w:firstLine="47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四、固废</w:t>
            </w:r>
          </w:p>
          <w:p>
            <w:pPr>
              <w:pStyle w:val="75"/>
              <w:spacing w:line="360" w:lineRule="auto"/>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bCs/>
                <w:color w:val="auto"/>
              </w:rPr>
              <w:t>1、固废污染源情况</w:t>
            </w:r>
          </w:p>
          <w:p>
            <w:pPr>
              <w:adjustRightInd w:val="0"/>
              <w:snapToGrid w:val="0"/>
              <w:spacing w:line="360" w:lineRule="auto"/>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表4-</w:t>
            </w:r>
            <w:r>
              <w:rPr>
                <w:rFonts w:hint="eastAsia" w:ascii="Times New Roman" w:hAnsi="Times New Roman" w:eastAsia="宋体" w:cs="Times New Roman"/>
                <w:b/>
                <w:color w:val="auto"/>
                <w:lang w:val="en-US" w:eastAsia="zh-CN"/>
              </w:rPr>
              <w:t xml:space="preserve">12 </w:t>
            </w:r>
            <w:r>
              <w:rPr>
                <w:rFonts w:hint="default" w:ascii="Times New Roman" w:hAnsi="Times New Roman" w:eastAsia="宋体" w:cs="Times New Roman"/>
                <w:b/>
                <w:color w:val="auto"/>
              </w:rPr>
              <w:t>固体废物污染源产生、排放汇总表</w:t>
            </w:r>
          </w:p>
          <w:tbl>
            <w:tblPr>
              <w:tblStyle w:val="57"/>
              <w:tblW w:w="11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0"/>
              <w:gridCol w:w="1732"/>
              <w:gridCol w:w="1104"/>
              <w:gridCol w:w="1118"/>
              <w:gridCol w:w="887"/>
              <w:gridCol w:w="1236"/>
              <w:gridCol w:w="960"/>
              <w:gridCol w:w="916"/>
              <w:gridCol w:w="729"/>
              <w:gridCol w:w="1427"/>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sz w:val="21"/>
                      <w:szCs w:val="21"/>
                    </w:rPr>
                    <w:t>工序/生产线</w:t>
                  </w:r>
                </w:p>
              </w:tc>
              <w:tc>
                <w:tcPr>
                  <w:tcW w:w="1732"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固体废物名称</w:t>
                  </w:r>
                </w:p>
              </w:tc>
              <w:tc>
                <w:tcPr>
                  <w:tcW w:w="1104"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固废属性</w:t>
                  </w:r>
                </w:p>
              </w:tc>
              <w:tc>
                <w:tcPr>
                  <w:tcW w:w="1118"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主要有毒有害物质名称</w:t>
                  </w:r>
                </w:p>
              </w:tc>
              <w:tc>
                <w:tcPr>
                  <w:tcW w:w="887"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物理性状</w:t>
                  </w:r>
                </w:p>
              </w:tc>
              <w:tc>
                <w:tcPr>
                  <w:tcW w:w="1236"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废物代码</w:t>
                  </w:r>
                </w:p>
              </w:tc>
              <w:tc>
                <w:tcPr>
                  <w:tcW w:w="960"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环境危险特性</w:t>
                  </w:r>
                </w:p>
              </w:tc>
              <w:tc>
                <w:tcPr>
                  <w:tcW w:w="916"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产生量（t/a）</w:t>
                  </w:r>
                </w:p>
              </w:tc>
              <w:tc>
                <w:tcPr>
                  <w:tcW w:w="729"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贮存方式</w:t>
                  </w:r>
                </w:p>
              </w:tc>
              <w:tc>
                <w:tcPr>
                  <w:tcW w:w="1427"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利用处置方式和去向</w:t>
                  </w:r>
                </w:p>
              </w:tc>
              <w:tc>
                <w:tcPr>
                  <w:tcW w:w="666"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打包工序</w:t>
                  </w:r>
                </w:p>
              </w:tc>
              <w:tc>
                <w:tcPr>
                  <w:tcW w:w="1732"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废包装材料</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一般废物</w:t>
                  </w:r>
                </w:p>
              </w:tc>
              <w:tc>
                <w:tcPr>
                  <w:tcW w:w="1118"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887"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固态</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309-999-99</w:t>
                  </w:r>
                </w:p>
              </w:tc>
              <w:tc>
                <w:tcPr>
                  <w:tcW w:w="960" w:type="dxa"/>
                  <w:tcBorders>
                    <w:top w:val="single" w:color="auto" w:sz="4" w:space="0"/>
                    <w:left w:val="single" w:color="auto" w:sz="4" w:space="0"/>
                    <w:bottom w:val="single" w:color="auto" w:sz="4" w:space="0"/>
                    <w:right w:val="single" w:color="auto" w:sz="4" w:space="0"/>
                  </w:tcBorders>
                  <w:vAlign w:val="center"/>
                </w:tcPr>
                <w:p>
                  <w:pPr>
                    <w:pStyle w:val="626"/>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729"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袋装</w:t>
                  </w:r>
                </w:p>
              </w:tc>
              <w:tc>
                <w:tcPr>
                  <w:tcW w:w="1427" w:type="dxa"/>
                  <w:vMerge w:val="restart"/>
                  <w:tcBorders>
                    <w:left w:val="single" w:color="auto" w:sz="4" w:space="0"/>
                    <w:right w:val="single" w:color="auto" w:sz="4" w:space="0"/>
                  </w:tcBorders>
                  <w:vAlign w:val="center"/>
                </w:tcPr>
                <w:p>
                  <w:pPr>
                    <w:pStyle w:val="17"/>
                    <w:widowControl/>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综合外售利用</w:t>
                  </w:r>
                </w:p>
              </w:tc>
              <w:tc>
                <w:tcPr>
                  <w:tcW w:w="666" w:type="dxa"/>
                  <w:vMerge w:val="restart"/>
                  <w:tcBorders>
                    <w:left w:val="single" w:color="auto" w:sz="4" w:space="0"/>
                    <w:right w:val="single" w:color="auto" w:sz="4" w:space="0"/>
                  </w:tcBorders>
                  <w:vAlign w:val="center"/>
                </w:tcPr>
                <w:p>
                  <w:pPr>
                    <w:pStyle w:val="38"/>
                    <w:widowControl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建立环境管理台账制度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80" w:type="dxa"/>
                  <w:vMerge w:val="restart"/>
                  <w:tcBorders>
                    <w:top w:val="single" w:color="auto" w:sz="4" w:space="0"/>
                    <w:left w:val="single" w:color="auto" w:sz="4" w:space="0"/>
                    <w:right w:val="single" w:color="auto" w:sz="4" w:space="0"/>
                  </w:tcBorders>
                  <w:vAlign w:val="center"/>
                </w:tcPr>
                <w:p>
                  <w:pPr>
                    <w:pStyle w:val="17"/>
                    <w:widowControl/>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废气处理</w:t>
                  </w:r>
                </w:p>
              </w:tc>
              <w:tc>
                <w:tcPr>
                  <w:tcW w:w="1732"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废布袋</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一般固废</w:t>
                  </w:r>
                </w:p>
              </w:tc>
              <w:tc>
                <w:tcPr>
                  <w:tcW w:w="1118"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87"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固态</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309-999-99</w:t>
                  </w:r>
                </w:p>
              </w:tc>
              <w:tc>
                <w:tcPr>
                  <w:tcW w:w="960" w:type="dxa"/>
                  <w:tcBorders>
                    <w:top w:val="single" w:color="auto" w:sz="4" w:space="0"/>
                    <w:left w:val="single" w:color="auto" w:sz="4" w:space="0"/>
                    <w:bottom w:val="single" w:color="auto" w:sz="4" w:space="0"/>
                    <w:right w:val="single" w:color="auto" w:sz="4" w:space="0"/>
                  </w:tcBorders>
                  <w:vAlign w:val="center"/>
                </w:tcPr>
                <w:p>
                  <w:pPr>
                    <w:pStyle w:val="626"/>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0.4</w:t>
                  </w:r>
                </w:p>
              </w:tc>
              <w:tc>
                <w:tcPr>
                  <w:tcW w:w="729"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袋装</w:t>
                  </w:r>
                </w:p>
              </w:tc>
              <w:tc>
                <w:tcPr>
                  <w:tcW w:w="1427" w:type="dxa"/>
                  <w:vMerge w:val="continue"/>
                  <w:tcBorders>
                    <w:left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color w:val="FF0000"/>
                      <w:sz w:val="21"/>
                      <w:szCs w:val="21"/>
                    </w:rPr>
                  </w:pPr>
                </w:p>
              </w:tc>
              <w:tc>
                <w:tcPr>
                  <w:tcW w:w="666" w:type="dxa"/>
                  <w:vMerge w:val="continue"/>
                  <w:tcBorders>
                    <w:left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80" w:type="dxa"/>
                  <w:vMerge w:val="continue"/>
                  <w:tcBorders>
                    <w:left w:val="single" w:color="auto" w:sz="4" w:space="0"/>
                    <w:bottom w:val="single" w:color="auto" w:sz="4" w:space="0"/>
                    <w:right w:val="single" w:color="auto" w:sz="4" w:space="0"/>
                  </w:tcBorders>
                  <w:vAlign w:val="center"/>
                </w:tcPr>
                <w:p>
                  <w:pPr>
                    <w:pStyle w:val="17"/>
                    <w:widowControl/>
                    <w:rPr>
                      <w:rFonts w:hint="eastAsia" w:ascii="Times New Roman" w:hAnsi="Times New Roman" w:eastAsia="宋体" w:cs="Times New Roman"/>
                      <w:color w:val="auto"/>
                      <w:lang w:eastAsia="zh-CN"/>
                    </w:rPr>
                  </w:pPr>
                </w:p>
              </w:tc>
              <w:tc>
                <w:tcPr>
                  <w:tcW w:w="1732" w:type="dxa"/>
                  <w:tcBorders>
                    <w:top w:val="single" w:color="auto" w:sz="4" w:space="0"/>
                    <w:left w:val="single" w:color="auto" w:sz="4" w:space="0"/>
                    <w:bottom w:val="single" w:color="auto" w:sz="4" w:space="0"/>
                    <w:right w:val="single" w:color="auto" w:sz="4" w:space="0"/>
                  </w:tcBorders>
                  <w:vAlign w:val="center"/>
                </w:tcPr>
                <w:p>
                  <w:pPr>
                    <w:pStyle w:val="17"/>
                    <w:widowControl/>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布袋粉尘</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val="0"/>
                    <w:spacing w:before="0" w:beforeAutospacing="0" w:after="0" w:afterAutospacing="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一般固废</w:t>
                  </w:r>
                </w:p>
              </w:tc>
              <w:tc>
                <w:tcPr>
                  <w:tcW w:w="1118"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87"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固态</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309-999-66</w:t>
                  </w:r>
                </w:p>
              </w:tc>
              <w:tc>
                <w:tcPr>
                  <w:tcW w:w="960" w:type="dxa"/>
                  <w:tcBorders>
                    <w:top w:val="single" w:color="auto" w:sz="4" w:space="0"/>
                    <w:left w:val="single" w:color="auto" w:sz="4" w:space="0"/>
                    <w:bottom w:val="single" w:color="auto" w:sz="4" w:space="0"/>
                    <w:right w:val="single" w:color="auto" w:sz="4" w:space="0"/>
                  </w:tcBorders>
                  <w:vAlign w:val="center"/>
                </w:tcPr>
                <w:p>
                  <w:pPr>
                    <w:pStyle w:val="626"/>
                    <w:jc w:val="center"/>
                    <w:rPr>
                      <w:rFonts w:hint="default" w:cs="Times New Roman"/>
                      <w:color w:val="auto"/>
                      <w:lang w:val="en-US" w:eastAsia="zh-CN"/>
                    </w:rPr>
                  </w:pPr>
                  <w:r>
                    <w:rPr>
                      <w:rFonts w:hint="eastAsia" w:cs="Times New Roman"/>
                      <w:color w:val="auto"/>
                      <w:lang w:val="en-US"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auto"/>
                      <w:lang w:val="en-US" w:eastAsia="zh-CN"/>
                    </w:rPr>
                    <w:t>81.2864</w:t>
                  </w:r>
                </w:p>
              </w:tc>
              <w:tc>
                <w:tcPr>
                  <w:tcW w:w="729" w:type="dxa"/>
                  <w:tcBorders>
                    <w:top w:val="single" w:color="auto" w:sz="4" w:space="0"/>
                    <w:left w:val="single" w:color="auto" w:sz="4" w:space="0"/>
                    <w:bottom w:val="single" w:color="auto" w:sz="4" w:space="0"/>
                    <w:right w:val="single" w:color="auto" w:sz="4" w:space="0"/>
                  </w:tcBorders>
                  <w:vAlign w:val="center"/>
                </w:tcPr>
                <w:p>
                  <w:pPr>
                    <w:pStyle w:val="17"/>
                    <w:widowControl/>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袋装</w:t>
                  </w:r>
                </w:p>
              </w:tc>
              <w:tc>
                <w:tcPr>
                  <w:tcW w:w="1427" w:type="dxa"/>
                  <w:tcBorders>
                    <w:left w:val="single" w:color="auto" w:sz="4" w:space="0"/>
                    <w:right w:val="single" w:color="auto" w:sz="4" w:space="0"/>
                  </w:tcBorders>
                  <w:vAlign w:val="center"/>
                </w:tcPr>
                <w:p>
                  <w:pPr>
                    <w:pStyle w:val="38"/>
                    <w:widowControl w:val="0"/>
                    <w:spacing w:before="0" w:beforeAutospacing="0" w:after="0" w:afterAutospacing="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回用于生产</w:t>
                  </w:r>
                </w:p>
              </w:tc>
              <w:tc>
                <w:tcPr>
                  <w:tcW w:w="666" w:type="dxa"/>
                  <w:vMerge w:val="continue"/>
                  <w:tcBorders>
                    <w:left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val="en-US" w:eastAsia="zh-CN"/>
                    </w:rPr>
                    <w:t>沉淀池污泥</w:t>
                  </w:r>
                </w:p>
              </w:tc>
              <w:tc>
                <w:tcPr>
                  <w:tcW w:w="1732"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val="en-US" w:eastAsia="zh-CN"/>
                    </w:rPr>
                    <w:t>废污泥</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val="0"/>
                    <w:spacing w:before="0" w:beforeAutospacing="0" w:after="0" w:afterAutospacing="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一般固废</w:t>
                  </w:r>
                </w:p>
              </w:tc>
              <w:tc>
                <w:tcPr>
                  <w:tcW w:w="1118"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887"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半固态</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FF0000"/>
                      <w:lang w:val="en-US" w:eastAsia="zh-CN"/>
                    </w:rPr>
                    <w:t>309-999-62</w:t>
                  </w:r>
                </w:p>
              </w:tc>
              <w:tc>
                <w:tcPr>
                  <w:tcW w:w="960" w:type="dxa"/>
                  <w:tcBorders>
                    <w:top w:val="single" w:color="auto" w:sz="4" w:space="0"/>
                    <w:left w:val="single" w:color="auto" w:sz="4" w:space="0"/>
                    <w:bottom w:val="single" w:color="auto" w:sz="4" w:space="0"/>
                    <w:right w:val="single" w:color="auto" w:sz="4" w:space="0"/>
                  </w:tcBorders>
                  <w:vAlign w:val="center"/>
                </w:tcPr>
                <w:p>
                  <w:pPr>
                    <w:pStyle w:val="626"/>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w:t>
                  </w:r>
                </w:p>
              </w:tc>
              <w:tc>
                <w:tcPr>
                  <w:tcW w:w="729"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hd w:val="clear" w:color="auto" w:fill="auto"/>
                      <w:lang w:val="en-US" w:eastAsia="zh-CN"/>
                    </w:rPr>
                    <w:t>桶装</w:t>
                  </w:r>
                </w:p>
              </w:tc>
              <w:tc>
                <w:tcPr>
                  <w:tcW w:w="1427" w:type="dxa"/>
                  <w:tcBorders>
                    <w:top w:val="single" w:color="auto" w:sz="4" w:space="0"/>
                    <w:left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委托相关单位处理</w:t>
                  </w:r>
                </w:p>
              </w:tc>
              <w:tc>
                <w:tcPr>
                  <w:tcW w:w="666" w:type="dxa"/>
                  <w:vMerge w:val="continue"/>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日常生活</w:t>
                  </w:r>
                </w:p>
              </w:tc>
              <w:tc>
                <w:tcPr>
                  <w:tcW w:w="1732"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kern w:val="0"/>
                      <w:lang w:eastAsia="zh-CN"/>
                    </w:rPr>
                    <w:t>生活垃圾</w:t>
                  </w:r>
                </w:p>
              </w:tc>
              <w:tc>
                <w:tcPr>
                  <w:tcW w:w="1104"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生活垃圾</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 w:val="21"/>
                      <w:szCs w:val="21"/>
                    </w:rPr>
                    <w:t>固态</w:t>
                  </w:r>
                </w:p>
              </w:tc>
              <w:tc>
                <w:tcPr>
                  <w:tcW w:w="1236"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60"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2.25</w:t>
                  </w:r>
                </w:p>
              </w:tc>
              <w:tc>
                <w:tcPr>
                  <w:tcW w:w="729"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袋装</w:t>
                  </w:r>
                </w:p>
              </w:tc>
              <w:tc>
                <w:tcPr>
                  <w:tcW w:w="1427"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交环卫部门</w:t>
                  </w:r>
                </w:p>
              </w:tc>
              <w:tc>
                <w:tcPr>
                  <w:tcW w:w="666" w:type="dxa"/>
                  <w:vMerge w:val="continue"/>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0" w:type="dxa"/>
                  <w:vMerge w:val="restart"/>
                  <w:tcBorders>
                    <w:top w:val="single" w:color="auto" w:sz="4" w:space="0"/>
                    <w:left w:val="single" w:color="auto" w:sz="4" w:space="0"/>
                    <w:right w:val="single" w:color="auto" w:sz="4" w:space="0"/>
                  </w:tcBorders>
                  <w:vAlign w:val="center"/>
                </w:tcPr>
                <w:p>
                  <w:pPr>
                    <w:pStyle w:val="17"/>
                    <w:widowControl/>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设备维护</w:t>
                  </w:r>
                </w:p>
              </w:tc>
              <w:tc>
                <w:tcPr>
                  <w:tcW w:w="1732"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kern w:val="0"/>
                      <w:lang w:eastAsia="zh-CN"/>
                    </w:rPr>
                  </w:pPr>
                  <w:r>
                    <w:rPr>
                      <w:rFonts w:hint="eastAsia" w:ascii="Times New Roman" w:hAnsi="Times New Roman" w:eastAsia="宋体" w:cs="Times New Roman"/>
                      <w:color w:val="auto"/>
                      <w:kern w:val="0"/>
                      <w:lang w:eastAsia="zh-CN"/>
                    </w:rPr>
                    <w:t>废机油桶</w:t>
                  </w:r>
                </w:p>
              </w:tc>
              <w:tc>
                <w:tcPr>
                  <w:tcW w:w="1104"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lang w:val="en-US" w:eastAsia="zh-CN"/>
                    </w:rPr>
                    <w:t>废矿物油</w:t>
                  </w:r>
                </w:p>
              </w:tc>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固态</w:t>
                  </w:r>
                </w:p>
              </w:tc>
              <w:tc>
                <w:tcPr>
                  <w:tcW w:w="1236"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900-041-49</w:t>
                  </w:r>
                </w:p>
              </w:tc>
              <w:tc>
                <w:tcPr>
                  <w:tcW w:w="960"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T、In</w:t>
                  </w:r>
                </w:p>
              </w:tc>
              <w:tc>
                <w:tcPr>
                  <w:tcW w:w="916"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0.05</w:t>
                  </w:r>
                </w:p>
              </w:tc>
              <w:tc>
                <w:tcPr>
                  <w:tcW w:w="729" w:type="dxa"/>
                  <w:tcBorders>
                    <w:top w:val="single" w:color="auto" w:sz="4" w:space="0"/>
                    <w:left w:val="single" w:color="auto" w:sz="4" w:space="0"/>
                    <w:bottom w:val="single" w:color="auto" w:sz="4" w:space="0"/>
                    <w:right w:val="single" w:color="auto" w:sz="4" w:space="0"/>
                  </w:tcBorders>
                  <w:vAlign w:val="center"/>
                </w:tcPr>
                <w:p>
                  <w:pPr>
                    <w:pStyle w:val="17"/>
                    <w:widowControl/>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桶装</w:t>
                  </w:r>
                </w:p>
              </w:tc>
              <w:tc>
                <w:tcPr>
                  <w:tcW w:w="1427" w:type="dxa"/>
                  <w:vMerge w:val="restart"/>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交有资质单位处理</w:t>
                  </w:r>
                </w:p>
              </w:tc>
              <w:tc>
                <w:tcPr>
                  <w:tcW w:w="666" w:type="dxa"/>
                  <w:vMerge w:val="continue"/>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1180" w:type="dxa"/>
                  <w:vMerge w:val="continue"/>
                  <w:tcBorders>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宋体" w:cs="Times New Roman"/>
                      <w:color w:val="auto"/>
                      <w:lang w:eastAsia="zh-CN"/>
                    </w:rPr>
                  </w:pPr>
                </w:p>
              </w:tc>
              <w:tc>
                <w:tcPr>
                  <w:tcW w:w="173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废机油</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危险废物</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废矿物油</w:t>
                  </w:r>
                </w:p>
              </w:tc>
              <w:tc>
                <w:tcPr>
                  <w:tcW w:w="8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液态</w:t>
                  </w:r>
                </w:p>
              </w:tc>
              <w:tc>
                <w:tcPr>
                  <w:tcW w:w="1236"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900-214-08</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T、I</w:t>
                  </w:r>
                </w:p>
              </w:tc>
              <w:tc>
                <w:tcPr>
                  <w:tcW w:w="916"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w:t>
                  </w:r>
                </w:p>
              </w:tc>
              <w:tc>
                <w:tcPr>
                  <w:tcW w:w="72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桶装</w:t>
                  </w:r>
                </w:p>
              </w:tc>
              <w:tc>
                <w:tcPr>
                  <w:tcW w:w="1427" w:type="dxa"/>
                  <w:vMerge w:val="continue"/>
                  <w:tcBorders>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宋体" w:cs="Times New Roman"/>
                      <w:color w:val="auto"/>
                      <w:lang w:eastAsia="zh-CN"/>
                    </w:rPr>
                  </w:pPr>
                </w:p>
              </w:tc>
              <w:tc>
                <w:tcPr>
                  <w:tcW w:w="666" w:type="dxa"/>
                  <w:vMerge w:val="continue"/>
                  <w:tcBorders>
                    <w:left w:val="single" w:color="auto" w:sz="4" w:space="0"/>
                    <w:right w:val="single" w:color="auto" w:sz="4" w:space="0"/>
                  </w:tcBorders>
                  <w:vAlign w:val="center"/>
                </w:tcPr>
                <w:p>
                  <w:pPr>
                    <w:widowControl/>
                    <w:jc w:val="center"/>
                    <w:rPr>
                      <w:rFonts w:hint="eastAsia" w:ascii="Times New Roman" w:hAnsi="Times New Roman" w:eastAsia="宋体" w:cs="Times New Roman"/>
                      <w:color w:val="auto"/>
                      <w:lang w:eastAsia="zh-CN"/>
                    </w:rPr>
                  </w:pPr>
                </w:p>
              </w:tc>
            </w:tr>
          </w:tbl>
          <w:p>
            <w:pPr>
              <w:adjustRightInd w:val="0"/>
              <w:snapToGrid w:val="0"/>
              <w:spacing w:line="360" w:lineRule="auto"/>
              <w:ind w:firstLine="472" w:firstLineChars="196"/>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2、固废源强计算过程：</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本项目固体废物主要为一般固废，包括</w:t>
            </w:r>
            <w:r>
              <w:rPr>
                <w:rFonts w:hint="eastAsia" w:ascii="Times New Roman" w:hAnsi="Times New Roman" w:eastAsia="宋体" w:cs="Times New Roman"/>
                <w:color w:val="auto"/>
                <w:sz w:val="24"/>
                <w:szCs w:val="24"/>
                <w:lang w:eastAsia="zh-CN"/>
              </w:rPr>
              <w:t>废包装材料、废布袋</w:t>
            </w:r>
            <w:r>
              <w:rPr>
                <w:rFonts w:hint="eastAsia" w:ascii="Times New Roman" w:hAnsi="Times New Roman" w:eastAsia="宋体" w:cs="Times New Roman"/>
                <w:color w:val="auto"/>
                <w:sz w:val="24"/>
                <w:szCs w:val="24"/>
                <w:lang w:val="en-US" w:eastAsia="zh-CN"/>
              </w:rPr>
              <w:t>、布袋</w:t>
            </w:r>
            <w:r>
              <w:rPr>
                <w:rFonts w:hint="eastAsia" w:ascii="Times New Roman" w:hAnsi="Times New Roman" w:eastAsia="宋体" w:cs="Times New Roman"/>
                <w:color w:val="auto"/>
                <w:sz w:val="24"/>
                <w:szCs w:val="24"/>
                <w:lang w:eastAsia="zh-CN"/>
              </w:rPr>
              <w:t>粉尘、废污泥</w:t>
            </w:r>
            <w:r>
              <w:rPr>
                <w:rFonts w:hint="eastAsia" w:ascii="Times New Roman" w:hAnsi="Times New Roman" w:eastAsia="宋体" w:cs="Times New Roman"/>
                <w:color w:val="auto"/>
                <w:sz w:val="24"/>
                <w:szCs w:val="24"/>
                <w:lang w:val="en-US" w:eastAsia="zh-CN"/>
              </w:rPr>
              <w:t>及</w:t>
            </w:r>
            <w:r>
              <w:rPr>
                <w:rFonts w:hint="eastAsia" w:ascii="Times New Roman" w:hAnsi="Times New Roman" w:eastAsia="宋体" w:cs="Times New Roman"/>
                <w:color w:val="auto"/>
                <w:sz w:val="24"/>
                <w:szCs w:val="24"/>
                <w:lang w:eastAsia="zh-CN"/>
              </w:rPr>
              <w:t>生活垃圾；</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本项目危险废物主要为设备维护产生的废机油及废机油桶。</w:t>
            </w:r>
          </w:p>
          <w:p>
            <w:pPr>
              <w:numPr>
                <w:ilvl w:val="0"/>
                <w:numId w:val="0"/>
              </w:num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）废包装材料</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本项目成品在打包过程中因操作不当会产生部分废包装材料，根据业主提供材料，废包装材料产生量约为1.5t/a。废包装材料</w:t>
            </w:r>
            <w:r>
              <w:rPr>
                <w:rFonts w:hint="default" w:ascii="Times New Roman" w:hAnsi="Times New Roman" w:eastAsia="宋体" w:cs="Times New Roman"/>
                <w:color w:val="auto"/>
                <w:sz w:val="24"/>
                <w:highlight w:val="none"/>
                <w:lang w:val="en-US" w:eastAsia="zh-CN"/>
              </w:rPr>
              <w:t>属于“</w:t>
            </w:r>
            <w:r>
              <w:rPr>
                <w:rFonts w:hint="eastAsia" w:ascii="Times New Roman" w:hAnsi="Times New Roman" w:eastAsia="宋体" w:cs="Times New Roman"/>
                <w:color w:val="auto"/>
                <w:sz w:val="24"/>
                <w:highlight w:val="none"/>
                <w:lang w:val="en-US" w:eastAsia="zh-CN"/>
              </w:rPr>
              <w:t>Ⅵ非特定行业生产过程中产生的一般固体废物</w:t>
            </w:r>
            <w:r>
              <w:rPr>
                <w:rFonts w:hint="default" w:ascii="Times New Roman" w:hAnsi="Times New Roman" w:eastAsia="宋体" w:cs="Times New Roman"/>
                <w:color w:val="auto"/>
                <w:sz w:val="24"/>
                <w:highlight w:val="none"/>
                <w:lang w:val="en-US" w:eastAsia="zh-CN"/>
              </w:rPr>
              <w:t>”中的“</w:t>
            </w:r>
            <w:r>
              <w:rPr>
                <w:rFonts w:hint="eastAsia" w:ascii="Times New Roman" w:hAnsi="Times New Roman" w:eastAsia="宋体" w:cs="Times New Roman"/>
                <w:color w:val="auto"/>
                <w:sz w:val="24"/>
                <w:szCs w:val="24"/>
                <w:lang w:val="en-US" w:eastAsia="zh-CN"/>
              </w:rPr>
              <w:t>309-999-99</w:t>
            </w:r>
            <w:r>
              <w:rPr>
                <w:rFonts w:hint="eastAsia" w:ascii="Times New Roman" w:hAnsi="Times New Roman" w:eastAsia="宋体" w:cs="Times New Roman"/>
                <w:color w:val="auto"/>
                <w:sz w:val="24"/>
                <w:szCs w:val="24"/>
                <w:lang w:eastAsia="zh-CN"/>
              </w:rPr>
              <w:t>非特定行业生产过程中产生的其他废物</w:t>
            </w:r>
            <w:r>
              <w:rPr>
                <w:rFonts w:hint="default" w:ascii="Times New Roman" w:hAnsi="Times New Roman" w:eastAsia="宋体" w:cs="Times New Roman"/>
                <w:color w:val="auto"/>
                <w:sz w:val="24"/>
                <w:highlight w:val="none"/>
                <w:lang w:val="en-US" w:eastAsia="zh-CN"/>
              </w:rPr>
              <w:t>”，该部分固体废物集中收集后外售综合利用。</w:t>
            </w:r>
          </w:p>
          <w:p>
            <w:pPr>
              <w:numPr>
                <w:ilvl w:val="0"/>
                <w:numId w:val="0"/>
              </w:numPr>
              <w:spacing w:line="348"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）废布袋</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本项目废气处理过程中会产生废布袋及</w:t>
            </w:r>
            <w:r>
              <w:rPr>
                <w:rFonts w:hint="eastAsia" w:ascii="Times New Roman" w:hAnsi="Times New Roman" w:eastAsia="宋体" w:cs="Times New Roman"/>
                <w:color w:val="auto"/>
                <w:sz w:val="24"/>
                <w:highlight w:val="none"/>
                <w:lang w:val="en-US" w:eastAsia="zh-CN"/>
              </w:rPr>
              <w:t>布袋粉尘</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故本项目废气处理过程中废布袋产生量约为0.4t/a。</w:t>
            </w:r>
            <w:r>
              <w:rPr>
                <w:rFonts w:hint="eastAsia" w:ascii="Times New Roman" w:hAnsi="Times New Roman" w:eastAsia="宋体" w:cs="Times New Roman"/>
                <w:color w:val="auto"/>
                <w:sz w:val="24"/>
                <w:szCs w:val="24"/>
                <w:highlight w:val="none"/>
                <w:lang w:eastAsia="zh-CN"/>
              </w:rPr>
              <w:t>废布袋</w:t>
            </w:r>
            <w:r>
              <w:rPr>
                <w:rFonts w:hint="default" w:ascii="Times New Roman" w:hAnsi="Times New Roman" w:eastAsia="宋体" w:cs="Times New Roman"/>
                <w:color w:val="auto"/>
                <w:sz w:val="24"/>
                <w:szCs w:val="24"/>
                <w:highlight w:val="none"/>
              </w:rPr>
              <w:t>属于</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highlight w:val="none"/>
                <w:lang w:val="en-US" w:eastAsia="zh-CN"/>
              </w:rPr>
              <w:t>Ⅵ非特定行业生产过程中产生的一般固体废物</w:t>
            </w:r>
            <w:r>
              <w:rPr>
                <w:rFonts w:hint="default" w:ascii="Times New Roman" w:hAnsi="Times New Roman" w:eastAsia="宋体" w:cs="Times New Roman"/>
                <w:color w:val="auto"/>
                <w:sz w:val="24"/>
                <w:szCs w:val="24"/>
                <w:lang w:eastAsia="zh-CN"/>
              </w:rPr>
              <w:t>”中的“</w:t>
            </w:r>
            <w:r>
              <w:rPr>
                <w:rFonts w:hint="eastAsia" w:ascii="Times New Roman" w:hAnsi="Times New Roman" w:eastAsia="宋体" w:cs="Times New Roman"/>
                <w:color w:val="auto"/>
                <w:sz w:val="24"/>
                <w:szCs w:val="24"/>
                <w:lang w:val="en-US" w:eastAsia="zh-CN"/>
              </w:rPr>
              <w:t>309-999-99</w:t>
            </w:r>
            <w:r>
              <w:rPr>
                <w:rFonts w:hint="eastAsia" w:ascii="Times New Roman" w:hAnsi="Times New Roman" w:eastAsia="宋体" w:cs="Times New Roman"/>
                <w:color w:val="auto"/>
                <w:sz w:val="24"/>
                <w:szCs w:val="24"/>
                <w:lang w:eastAsia="zh-CN"/>
              </w:rPr>
              <w:t>非特定行业生产过程中产生的其他废物</w:t>
            </w:r>
            <w:r>
              <w:rPr>
                <w:rFonts w:hint="default" w:ascii="Times New Roman" w:hAnsi="Times New Roman" w:eastAsia="宋体" w:cs="Times New Roman"/>
                <w:color w:val="auto"/>
                <w:sz w:val="24"/>
                <w:szCs w:val="24"/>
                <w:lang w:eastAsia="zh-CN"/>
              </w:rPr>
              <w:t>”，该部分固体废物集中收集后外售综合利用。</w:t>
            </w:r>
          </w:p>
          <w:p>
            <w:pPr>
              <w:numPr>
                <w:ilvl w:val="0"/>
                <w:numId w:val="0"/>
              </w:numPr>
              <w:spacing w:line="348"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）布袋粉尘</w:t>
            </w:r>
          </w:p>
          <w:p>
            <w:pPr>
              <w:spacing w:line="360" w:lineRule="auto"/>
              <w:ind w:firstLine="480" w:firstLineChars="200"/>
              <w:rPr>
                <w:rFonts w:hint="default" w:ascii="Times New Roman" w:hAnsi="Times New Roman" w:eastAsia="宋体" w:cs="Times New Roman"/>
                <w:color w:val="FF0000"/>
                <w:sz w:val="24"/>
                <w:highlight w:val="none"/>
                <w:lang w:val="en-US" w:eastAsia="zh-CN"/>
              </w:rPr>
            </w:pPr>
            <w:r>
              <w:rPr>
                <w:rFonts w:hint="eastAsia" w:ascii="Times New Roman" w:hAnsi="Times New Roman" w:eastAsia="宋体" w:cs="Times New Roman"/>
                <w:color w:val="auto"/>
                <w:sz w:val="24"/>
                <w:highlight w:val="none"/>
                <w:lang w:eastAsia="zh-CN"/>
              </w:rPr>
              <w:t>本项目废气处理过程中会产生废布袋及</w:t>
            </w:r>
            <w:r>
              <w:rPr>
                <w:rFonts w:hint="eastAsia" w:ascii="Times New Roman" w:hAnsi="Times New Roman" w:eastAsia="宋体" w:cs="Times New Roman"/>
                <w:color w:val="auto"/>
                <w:sz w:val="24"/>
                <w:highlight w:val="none"/>
                <w:lang w:val="en-US" w:eastAsia="zh-CN"/>
              </w:rPr>
              <w:t>布袋粉尘</w:t>
            </w:r>
            <w:r>
              <w:rPr>
                <w:rFonts w:hint="eastAsia" w:ascii="Times New Roman" w:hAnsi="Times New Roman" w:eastAsia="宋体" w:cs="Times New Roman"/>
                <w:color w:val="auto"/>
                <w:sz w:val="24"/>
                <w:highlight w:val="none"/>
                <w:lang w:eastAsia="zh-CN"/>
              </w:rPr>
              <w:t>，根据表</w:t>
            </w:r>
            <w:r>
              <w:rPr>
                <w:rFonts w:hint="eastAsia" w:ascii="Times New Roman" w:hAnsi="Times New Roman" w:eastAsia="宋体" w:cs="Times New Roman"/>
                <w:color w:val="auto"/>
                <w:sz w:val="24"/>
                <w:highlight w:val="none"/>
                <w:lang w:val="en-US" w:eastAsia="zh-CN"/>
              </w:rPr>
              <w:t>4-1计算可知废气处理过程中布袋处理粉尘量为81.2864t/a，废布袋中的布袋粉尘全部回用于生产工序</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废污泥</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项目运行过程中，洗车池旁沉淀池对车辆冲洗水进行处理过程中会产生沉淀池污泥。车辆冲洗水年产生量为273.6t/a，沉淀池污泥产生量约为年处理水量的0.01%，则废污泥产生量约为0.03t/a。</w:t>
            </w:r>
            <w:r>
              <w:rPr>
                <w:rFonts w:hint="eastAsia" w:ascii="Times New Roman" w:hAnsi="Times New Roman" w:eastAsia="宋体" w:cs="Times New Roman"/>
                <w:color w:val="auto"/>
                <w:sz w:val="24"/>
                <w:szCs w:val="24"/>
                <w:highlight w:val="none"/>
                <w:lang w:eastAsia="zh-CN"/>
              </w:rPr>
              <w:t>废</w:t>
            </w:r>
            <w:r>
              <w:rPr>
                <w:rFonts w:hint="eastAsia" w:ascii="Times New Roman" w:hAnsi="Times New Roman" w:eastAsia="宋体" w:cs="Times New Roman"/>
                <w:color w:val="auto"/>
                <w:sz w:val="24"/>
                <w:szCs w:val="24"/>
                <w:highlight w:val="none"/>
                <w:lang w:val="en-US" w:eastAsia="zh-CN"/>
              </w:rPr>
              <w:t>污泥</w:t>
            </w:r>
            <w:r>
              <w:rPr>
                <w:rFonts w:hint="default" w:ascii="Times New Roman" w:hAnsi="Times New Roman" w:eastAsia="宋体" w:cs="Times New Roman"/>
                <w:color w:val="auto"/>
                <w:sz w:val="24"/>
                <w:szCs w:val="24"/>
                <w:highlight w:val="none"/>
              </w:rPr>
              <w:t>属于</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highlight w:val="none"/>
                <w:lang w:val="en-US" w:eastAsia="zh-CN"/>
              </w:rPr>
              <w:t>Ⅵ非特定行业生产过程中产生的一般固体废物</w:t>
            </w:r>
            <w:r>
              <w:rPr>
                <w:rFonts w:hint="default" w:ascii="Times New Roman" w:hAnsi="Times New Roman" w:eastAsia="宋体" w:cs="Times New Roman"/>
                <w:color w:val="auto"/>
                <w:sz w:val="24"/>
                <w:szCs w:val="24"/>
                <w:lang w:eastAsia="zh-CN"/>
              </w:rPr>
              <w:t>”中的</w:t>
            </w:r>
            <w:r>
              <w:rPr>
                <w:rFonts w:hint="default"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309-999-61</w:t>
            </w:r>
            <w:r>
              <w:rPr>
                <w:rFonts w:hint="eastAsia" w:ascii="Times New Roman" w:hAnsi="Times New Roman" w:eastAsia="宋体" w:cs="Times New Roman"/>
                <w:color w:val="FF0000"/>
                <w:sz w:val="24"/>
                <w:szCs w:val="24"/>
                <w:lang w:eastAsia="zh-CN"/>
              </w:rPr>
              <w:t>非特定行业生产过程中产生的无机废水污泥</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auto"/>
                <w:sz w:val="24"/>
                <w:szCs w:val="24"/>
                <w:lang w:eastAsia="zh-CN"/>
              </w:rPr>
              <w:t>该部分固体废物集中收集后外售综合利用。</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废机油</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highlight w:val="none"/>
                <w:lang w:val="en-US" w:eastAsia="zh-CN"/>
              </w:rPr>
              <w:t>项目设备维护过程中会产生废机油，根据建设方提供资料，项目废机油产生量约为0.1t/a。废机油</w:t>
            </w:r>
            <w:r>
              <w:rPr>
                <w:sz w:val="24"/>
              </w:rPr>
              <w:t>属于《国家危险废物名录》（2021版）中危险废物（废物类别HW</w:t>
            </w:r>
            <w:r>
              <w:rPr>
                <w:rFonts w:hint="eastAsia"/>
                <w:sz w:val="24"/>
                <w:lang w:val="en-US" w:eastAsia="zh-CN"/>
              </w:rPr>
              <w:t>08</w:t>
            </w:r>
            <w:r>
              <w:rPr>
                <w:sz w:val="24"/>
              </w:rPr>
              <w:t>，废物代码900-</w:t>
            </w:r>
            <w:r>
              <w:rPr>
                <w:rFonts w:hint="eastAsia"/>
                <w:sz w:val="24"/>
                <w:lang w:val="en-US" w:eastAsia="zh-CN"/>
              </w:rPr>
              <w:t>214</w:t>
            </w:r>
            <w:r>
              <w:rPr>
                <w:sz w:val="24"/>
              </w:rPr>
              <w:t>-</w:t>
            </w:r>
            <w:r>
              <w:rPr>
                <w:rFonts w:hint="eastAsia"/>
                <w:sz w:val="24"/>
                <w:lang w:val="en-US" w:eastAsia="zh-CN"/>
              </w:rPr>
              <w:t>08</w:t>
            </w:r>
            <w:r>
              <w:rPr>
                <w:sz w:val="24"/>
              </w:rPr>
              <w:t>）</w:t>
            </w:r>
            <w:r>
              <w:rPr>
                <w:rFonts w:hint="eastAsia"/>
                <w:sz w:val="24"/>
                <w:lang w:eastAsia="zh-CN"/>
              </w:rPr>
              <w:t>。项目产生的废机油收集后存于危废间，交有资质单位处理</w:t>
            </w:r>
            <w:r>
              <w:rPr>
                <w:rFonts w:hint="default" w:ascii="Times New Roman" w:hAnsi="Times New Roman" w:eastAsia="宋体" w:cs="Times New Roman"/>
                <w:color w:val="auto"/>
                <w:sz w:val="24"/>
                <w:szCs w:val="24"/>
                <w:lang w:eastAsia="zh-CN"/>
              </w:rPr>
              <w:t>。</w:t>
            </w:r>
          </w:p>
          <w:p>
            <w:pPr>
              <w:pStyle w:val="34"/>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eastAsia="zh-CN"/>
              </w:rPr>
              <w:t>）废机油桶</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设备维护过程中会产生废机油桶，根据建设方提供资料，项目废机油桶产生量约为0.05t/a。废机油桶属于《国家危险废物名录》（2021版）中危险废物（废物类别HW49，废物代码900-041-49），项目废机油桶收集后存于危废间，交有资质单位处理。</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eastAsia="zh-CN"/>
              </w:rPr>
              <w:t>）生活垃圾</w:t>
            </w:r>
          </w:p>
          <w:p>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本项目工作人员有</w:t>
            </w:r>
            <w:r>
              <w:rPr>
                <w:rFonts w:hint="eastAsia"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人，按</w:t>
            </w:r>
            <w:r>
              <w:rPr>
                <w:rFonts w:hint="default" w:ascii="Times New Roman" w:hAnsi="Times New Roman" w:eastAsia="宋体" w:cs="Times New Roman"/>
                <w:color w:val="auto"/>
                <w:sz w:val="24"/>
                <w:highlight w:val="none"/>
                <w:lang w:val="en-US" w:eastAsia="zh-CN"/>
              </w:rPr>
              <w:t>0.5</w:t>
            </w:r>
            <w:r>
              <w:rPr>
                <w:rFonts w:hint="default" w:ascii="Times New Roman" w:hAnsi="Times New Roman" w:eastAsia="宋体" w:cs="Times New Roman"/>
                <w:color w:val="auto"/>
                <w:sz w:val="24"/>
                <w:highlight w:val="none"/>
              </w:rPr>
              <w:t>kg/人·d</w:t>
            </w:r>
            <w:r>
              <w:rPr>
                <w:rFonts w:hint="default" w:ascii="Times New Roman" w:hAnsi="Times New Roman" w:eastAsia="宋体" w:cs="Times New Roman"/>
                <w:color w:val="auto"/>
                <w:sz w:val="24"/>
                <w:highlight w:val="none"/>
                <w:lang w:eastAsia="zh-CN"/>
              </w:rPr>
              <w:t>，年工作</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00</w:t>
            </w:r>
            <w:r>
              <w:rPr>
                <w:rFonts w:hint="default" w:ascii="Times New Roman" w:hAnsi="Times New Roman" w:eastAsia="宋体" w:cs="Times New Roman"/>
                <w:color w:val="auto"/>
                <w:sz w:val="24"/>
                <w:highlight w:val="none"/>
                <w:lang w:val="en-US" w:eastAsia="zh-CN"/>
              </w:rPr>
              <w:t>天</w:t>
            </w:r>
            <w:r>
              <w:rPr>
                <w:rFonts w:hint="default" w:ascii="Times New Roman" w:hAnsi="Times New Roman" w:eastAsia="宋体" w:cs="Times New Roman"/>
                <w:color w:val="auto"/>
                <w:sz w:val="24"/>
                <w:highlight w:val="none"/>
              </w:rPr>
              <w:t>计，则生活垃圾产生量为</w:t>
            </w:r>
            <w:r>
              <w:rPr>
                <w:rFonts w:hint="eastAsia" w:ascii="Times New Roman" w:hAnsi="Times New Roman" w:eastAsia="宋体" w:cs="Times New Roman"/>
                <w:color w:val="auto"/>
                <w:sz w:val="24"/>
                <w:highlight w:val="none"/>
                <w:lang w:val="en-US" w:eastAsia="zh-CN"/>
              </w:rPr>
              <w:t>2.25</w:t>
            </w:r>
            <w:r>
              <w:rPr>
                <w:rFonts w:hint="default" w:ascii="Times New Roman" w:hAnsi="Times New Roman" w:eastAsia="宋体" w:cs="Times New Roman"/>
                <w:color w:val="auto"/>
                <w:sz w:val="24"/>
                <w:highlight w:val="none"/>
              </w:rPr>
              <w:t>t/a。收集后交由当地环卫部门统一清运，做到日产日清</w:t>
            </w:r>
            <w:r>
              <w:rPr>
                <w:rFonts w:hint="eastAsia" w:ascii="Times New Roman" w:hAnsi="Times New Roman" w:eastAsia="宋体" w:cs="Times New Roman"/>
                <w:color w:val="auto"/>
                <w:sz w:val="24"/>
                <w:highlight w:val="none"/>
                <w:lang w:eastAsia="zh-CN"/>
              </w:rPr>
              <w:t>。</w:t>
            </w:r>
          </w:p>
          <w:p>
            <w:pPr>
              <w:adjustRightInd w:val="0"/>
              <w:snapToGrid w:val="0"/>
              <w:jc w:val="center"/>
              <w:rPr>
                <w:rFonts w:hint="eastAsia" w:ascii="Times New Roman" w:hAnsi="Times New Roman" w:eastAsia="宋体" w:cs="Times New Roman"/>
                <w:b/>
                <w:bCs w:val="0"/>
                <w:color w:val="000000" w:themeColor="text1"/>
                <w:lang w:val="en-US" w:eastAsia="zh-CN"/>
                <w14:textFill>
                  <w14:solidFill>
                    <w14:schemeClr w14:val="tx1"/>
                  </w14:solidFill>
                </w14:textFill>
              </w:rPr>
            </w:pPr>
            <w:r>
              <w:rPr>
                <w:rFonts w:hint="eastAsia" w:ascii="Times New Roman" w:hAnsi="Times New Roman" w:eastAsia="宋体" w:cs="Times New Roman"/>
                <w:b/>
                <w:bCs w:val="0"/>
                <w:color w:val="000000" w:themeColor="text1"/>
                <w:lang w:eastAsia="zh-CN"/>
                <w14:textFill>
                  <w14:solidFill>
                    <w14:schemeClr w14:val="tx1"/>
                  </w14:solidFill>
                </w14:textFill>
              </w:rPr>
              <w:t>表</w:t>
            </w:r>
            <w:r>
              <w:rPr>
                <w:rFonts w:hint="eastAsia" w:ascii="Times New Roman" w:hAnsi="Times New Roman" w:eastAsia="宋体" w:cs="Times New Roman"/>
                <w:b/>
                <w:bCs w:val="0"/>
                <w:color w:val="000000" w:themeColor="text1"/>
                <w:lang w:val="en-US" w:eastAsia="zh-CN"/>
                <w14:textFill>
                  <w14:solidFill>
                    <w14:schemeClr w14:val="tx1"/>
                  </w14:solidFill>
                </w14:textFill>
              </w:rPr>
              <w:t>4-13 项目危险废物贮存场所（设施）基本情况表</w:t>
            </w:r>
          </w:p>
          <w:tbl>
            <w:tblPr>
              <w:tblStyle w:val="58"/>
              <w:tblW w:w="11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85"/>
              <w:gridCol w:w="1515"/>
              <w:gridCol w:w="1515"/>
              <w:gridCol w:w="1290"/>
              <w:gridCol w:w="1155"/>
              <w:gridCol w:w="1185"/>
              <w:gridCol w:w="117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13"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贮存场所</w:t>
                  </w:r>
                </w:p>
              </w:tc>
              <w:tc>
                <w:tcPr>
                  <w:tcW w:w="1485"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危险废物名称</w:t>
                  </w:r>
                </w:p>
              </w:tc>
              <w:tc>
                <w:tcPr>
                  <w:tcW w:w="1515"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危险废物类别</w:t>
                  </w:r>
                </w:p>
              </w:tc>
              <w:tc>
                <w:tcPr>
                  <w:tcW w:w="1515"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危险废物代码</w:t>
                  </w:r>
                </w:p>
              </w:tc>
              <w:tc>
                <w:tcPr>
                  <w:tcW w:w="1290"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位置</w:t>
                  </w:r>
                </w:p>
              </w:tc>
              <w:tc>
                <w:tcPr>
                  <w:tcW w:w="1155"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占地面积</w:t>
                  </w:r>
                </w:p>
              </w:tc>
              <w:tc>
                <w:tcPr>
                  <w:tcW w:w="1185"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贮存方式</w:t>
                  </w:r>
                </w:p>
              </w:tc>
              <w:tc>
                <w:tcPr>
                  <w:tcW w:w="1170"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贮存能力</w:t>
                  </w:r>
                </w:p>
              </w:tc>
              <w:tc>
                <w:tcPr>
                  <w:tcW w:w="1189"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贮存</w:t>
                  </w:r>
                  <w:r>
                    <w:rPr>
                      <w:rFonts w:hint="eastAsia" w:ascii="Times New Roman" w:hAnsi="Times New Roman" w:eastAsia="宋体" w:cs="Times New Roman"/>
                      <w:color w:val="auto"/>
                      <w:sz w:val="21"/>
                      <w:szCs w:val="21"/>
                      <w:lang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313" w:type="dxa"/>
                  <w:vMerge w:val="restart"/>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危废间</w:t>
                  </w:r>
                </w:p>
              </w:tc>
              <w:tc>
                <w:tcPr>
                  <w:tcW w:w="1485"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废机油桶</w:t>
                  </w:r>
                </w:p>
              </w:tc>
              <w:tc>
                <w:tcPr>
                  <w:tcW w:w="1515"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HW49</w:t>
                  </w:r>
                </w:p>
              </w:tc>
              <w:tc>
                <w:tcPr>
                  <w:tcW w:w="1515"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900-041-49</w:t>
                  </w:r>
                </w:p>
              </w:tc>
              <w:tc>
                <w:tcPr>
                  <w:tcW w:w="1290" w:type="dxa"/>
                  <w:vMerge w:val="restart"/>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厂区西南角</w:t>
                  </w:r>
                </w:p>
              </w:tc>
              <w:tc>
                <w:tcPr>
                  <w:tcW w:w="1155" w:type="dxa"/>
                  <w:vMerge w:val="restart"/>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2m</w:t>
                  </w:r>
                  <w:r>
                    <w:rPr>
                      <w:rFonts w:hint="eastAsia" w:ascii="Times New Roman" w:hAnsi="Times New Roman" w:eastAsia="宋体" w:cs="Times New Roman"/>
                      <w:color w:val="auto"/>
                      <w:sz w:val="21"/>
                      <w:szCs w:val="21"/>
                      <w:vertAlign w:val="superscript"/>
                      <w:lang w:val="en-US" w:eastAsia="zh-CN"/>
                    </w:rPr>
                    <w:t>2</w:t>
                  </w:r>
                </w:p>
              </w:tc>
              <w:tc>
                <w:tcPr>
                  <w:tcW w:w="1185" w:type="dxa"/>
                  <w:vMerge w:val="restart"/>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桶装</w:t>
                  </w:r>
                </w:p>
              </w:tc>
              <w:tc>
                <w:tcPr>
                  <w:tcW w:w="1170"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0.05t</w:t>
                  </w:r>
                </w:p>
              </w:tc>
              <w:tc>
                <w:tcPr>
                  <w:tcW w:w="1189" w:type="dxa"/>
                  <w:vMerge w:val="restart"/>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313" w:type="dxa"/>
                  <w:vMerge w:val="continue"/>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1485"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废机油</w:t>
                  </w:r>
                </w:p>
              </w:tc>
              <w:tc>
                <w:tcPr>
                  <w:tcW w:w="1515"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HW08</w:t>
                  </w:r>
                </w:p>
              </w:tc>
              <w:tc>
                <w:tcPr>
                  <w:tcW w:w="1515"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900-</w:t>
                  </w:r>
                  <w:r>
                    <w:rPr>
                      <w:rFonts w:hint="eastAsia" w:ascii="Times New Roman" w:hAnsi="Times New Roman" w:eastAsia="宋体" w:cs="Times New Roman"/>
                      <w:color w:val="auto"/>
                      <w:sz w:val="21"/>
                      <w:szCs w:val="21"/>
                      <w:lang w:val="en-US" w:eastAsia="zh-CN"/>
                    </w:rPr>
                    <w:t>214</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08</w:t>
                  </w:r>
                </w:p>
              </w:tc>
              <w:tc>
                <w:tcPr>
                  <w:tcW w:w="1290" w:type="dxa"/>
                  <w:vMerge w:val="continue"/>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1155" w:type="dxa"/>
                  <w:vMerge w:val="continue"/>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1185" w:type="dxa"/>
                  <w:vMerge w:val="continue"/>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1170" w:type="dxa"/>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0.1t</w:t>
                  </w:r>
                </w:p>
              </w:tc>
              <w:tc>
                <w:tcPr>
                  <w:tcW w:w="1189" w:type="dxa"/>
                  <w:vMerge w:val="continue"/>
                  <w:vAlign w:val="center"/>
                </w:tcPr>
                <w:p>
                  <w:pPr>
                    <w:pStyle w:val="38"/>
                    <w:widowControl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r>
          </w:tbl>
          <w:p>
            <w:pPr>
              <w:pStyle w:val="619"/>
              <w:ind w:left="0" w:leftChars="0" w:firstLine="482" w:firstLineChars="20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3、环境管理要求</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kern w:val="0"/>
              </w:rPr>
            </w:pPr>
            <w:r>
              <w:rPr>
                <w:rFonts w:hint="default" w:ascii="Times New Roman" w:hAnsi="Times New Roman" w:eastAsia="宋体" w:cs="Times New Roman"/>
                <w:color w:val="auto"/>
              </w:rPr>
              <w:t>（1）一般固体废物储存管理要求</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本项目设置一般固废暂存间（</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rPr>
              <w:t>），专门用于临时存放项目产生的一般固体废物</w:t>
            </w:r>
            <w:r>
              <w:rPr>
                <w:rFonts w:hint="eastAsia" w:ascii="Times New Roman" w:hAnsi="Times New Roman" w:cs="Times New Roman"/>
                <w:color w:val="auto"/>
                <w:lang w:eastAsia="zh-CN"/>
              </w:rPr>
              <w:t>。本项目一般固废为废包装材料、废布袋</w:t>
            </w:r>
            <w:r>
              <w:rPr>
                <w:rFonts w:hint="eastAsia" w:ascii="Times New Roman" w:hAnsi="Times New Roman" w:cs="Times New Roman"/>
                <w:color w:val="auto"/>
                <w:lang w:val="en-US" w:eastAsia="zh-CN"/>
              </w:rPr>
              <w:t>、</w:t>
            </w:r>
            <w:r>
              <w:rPr>
                <w:rFonts w:hint="eastAsia" w:ascii="Times New Roman" w:hAnsi="Times New Roman" w:cs="Times New Roman"/>
                <w:color w:val="auto"/>
                <w:lang w:eastAsia="zh-CN"/>
              </w:rPr>
              <w:t>布袋粉尘、废污泥及生活垃圾等。根据建设方提供资料可知，陆丰管业厂区内基本每天都有专门的回收人员对各企业的一般固废进行回收。项目产生的一般固废仅在生产厂房内短时间暂存。上述一般固废每日产生量约为</w:t>
            </w:r>
            <w:r>
              <w:rPr>
                <w:rFonts w:hint="eastAsia" w:ascii="Times New Roman" w:hAnsi="Times New Roman" w:cs="Times New Roman"/>
                <w:color w:val="auto"/>
                <w:lang w:val="en-US" w:eastAsia="zh-CN"/>
              </w:rPr>
              <w:t>0.014t，项目拟建设的一般固废暂存区域为3m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vertAlign w:val="baseline"/>
                <w:lang w:val="en-US" w:eastAsia="zh-CN"/>
              </w:rPr>
              <w:t>，预计固废存量为2t</w:t>
            </w:r>
            <w:r>
              <w:rPr>
                <w:rFonts w:hint="eastAsia" w:ascii="Times New Roman" w:hAnsi="Times New Roman" w:cs="Times New Roman"/>
                <w:color w:val="auto"/>
                <w:lang w:val="en-US" w:eastAsia="zh-CN"/>
              </w:rPr>
              <w:t>，</w:t>
            </w:r>
            <w:r>
              <w:rPr>
                <w:rFonts w:hint="eastAsia" w:ascii="Times New Roman" w:hAnsi="Times New Roman" w:cs="Times New Roman"/>
                <w:color w:val="auto"/>
                <w:lang w:eastAsia="zh-CN"/>
              </w:rPr>
              <w:t>可满足厂区内一般固废短时间暂存</w:t>
            </w:r>
            <w:r>
              <w:rPr>
                <w:rFonts w:hint="eastAsia" w:ascii="Times New Roman" w:hAnsi="Times New Roman" w:cs="Times New Roman"/>
                <w:color w:val="auto"/>
                <w:lang w:val="en-US" w:eastAsia="zh-CN"/>
              </w:rPr>
              <w:t>的需求</w:t>
            </w:r>
            <w:r>
              <w:rPr>
                <w:rFonts w:hint="default" w:ascii="Times New Roman" w:hAnsi="Times New Roman" w:eastAsia="宋体" w:cs="Times New Roman"/>
                <w:color w:val="auto"/>
              </w:rPr>
              <w:t>。</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strike w:val="0"/>
                <w:dstrike w:val="0"/>
                <w:color w:val="auto"/>
              </w:rPr>
              <w:t>①</w:t>
            </w:r>
            <w:r>
              <w:rPr>
                <w:rFonts w:hint="default" w:ascii="Times New Roman" w:hAnsi="Times New Roman" w:eastAsia="宋体" w:cs="Times New Roman"/>
                <w:color w:val="auto"/>
              </w:rPr>
              <w:t>建立检查维护制度：定期检查维护</w:t>
            </w:r>
            <w:r>
              <w:rPr>
                <w:rFonts w:hint="eastAsia" w:ascii="Times New Roman" w:hAnsi="Times New Roman" w:cs="Times New Roman"/>
                <w:color w:val="auto"/>
                <w:lang w:val="en-US" w:eastAsia="zh-CN"/>
              </w:rPr>
              <w:t>洗车池、沉淀池</w:t>
            </w:r>
            <w:r>
              <w:rPr>
                <w:rFonts w:hint="default" w:ascii="Times New Roman" w:hAnsi="Times New Roman" w:eastAsia="宋体" w:cs="Times New Roman"/>
                <w:color w:val="auto"/>
              </w:rPr>
              <w:t>等设施，发现有损坏可能或异常，应及时采取必要措施，以保障正常运行。</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②</w:t>
            </w:r>
            <w:r>
              <w:rPr>
                <w:color w:val="auto"/>
                <w:szCs w:val="21"/>
                <w:highlight w:val="none"/>
              </w:rPr>
              <w:t>要求建设单位对</w:t>
            </w:r>
            <w:r>
              <w:rPr>
                <w:rFonts w:hint="eastAsia"/>
                <w:color w:val="auto"/>
                <w:szCs w:val="21"/>
                <w:highlight w:val="none"/>
                <w:lang w:val="en-US" w:eastAsia="zh-CN"/>
              </w:rPr>
              <w:t>固废暂存间</w:t>
            </w:r>
            <w:r>
              <w:rPr>
                <w:color w:val="auto"/>
                <w:szCs w:val="21"/>
                <w:highlight w:val="none"/>
              </w:rPr>
              <w:t>做好防渗、防雨、防风措施，严格按照《</w:t>
            </w:r>
            <w:r>
              <w:rPr>
                <w:bCs/>
                <w:color w:val="auto"/>
                <w:szCs w:val="21"/>
                <w:highlight w:val="none"/>
              </w:rPr>
              <w:t>一般工业固体废物贮存和填埋污染控制标准</w:t>
            </w:r>
            <w:r>
              <w:rPr>
                <w:color w:val="auto"/>
                <w:szCs w:val="21"/>
                <w:highlight w:val="none"/>
              </w:rPr>
              <w:t>》进行施工。</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③建立档案制度：应将入场的一般工业固体废物的种类和数量以及检查维护资料，详细记录在案，长期保存，供随时查阅。</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rPr>
              <w:t>④</w:t>
            </w:r>
            <w:r>
              <w:rPr>
                <w:rFonts w:hint="default" w:ascii="Times New Roman" w:hAnsi="Times New Roman" w:eastAsia="宋体" w:cs="Times New Roman"/>
                <w:color w:val="auto"/>
              </w:rPr>
              <w:t>环境保护图形标志维护：应按《环境保护图形标志》（GB15562.2-1995）规定进行检查和维护。</w:t>
            </w:r>
          </w:p>
          <w:p>
            <w:pPr>
              <w:pStyle w:val="38"/>
              <w:widowControl w:val="0"/>
              <w:autoSpaceDE w:val="0"/>
              <w:spacing w:before="0" w:beforeAutospacing="0" w:after="0" w:afterAutospacing="0" w:line="360" w:lineRule="auto"/>
              <w:ind w:firstLine="480" w:firstLineChars="20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）危险废物储存管理要求</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国家危险废物名录》规定，本项目产生的危险废物，应按要求交由有资质单位处理。交由有附近资质单位处理前，危险废物的存储应单独设置一间存放室。各类原材料和危废分区存放，禁止将不兼容的原料和危废在同一容器内混装，装载液体、半固体危废容器内必须留有足够空间，容器顶部与液体表面保留100mm以上的空间，装载危险废物的容器上必须粘贴符合GB18597-20</w:t>
            </w:r>
            <w:r>
              <w:rPr>
                <w:rFonts w:hint="default" w:ascii="Times New Roman" w:hAnsi="Times New Roman" w:eastAsia="宋体" w:cs="Times New Roman"/>
                <w:color w:val="auto"/>
                <w:lang w:val="en-US" w:eastAsia="zh-CN"/>
              </w:rPr>
              <w:t>23</w:t>
            </w:r>
            <w:r>
              <w:rPr>
                <w:rFonts w:hint="default" w:ascii="Times New Roman" w:hAnsi="Times New Roman" w:eastAsia="宋体" w:cs="Times New Roman"/>
                <w:color w:val="auto"/>
              </w:rPr>
              <w:t>标准附录A所示的标签；车间要做好防风、防雨、防晒工作。并制定好固体废物特别是危险废物转移运输途中的污染防范及事故应急措施。</w:t>
            </w:r>
            <w:r>
              <w:rPr>
                <w:rFonts w:hint="eastAsia" w:ascii="Times New Roman" w:hAnsi="Times New Roman" w:eastAsia="宋体" w:cs="Times New Roman"/>
                <w:color w:val="auto"/>
                <w:lang w:eastAsia="zh-CN"/>
              </w:rPr>
              <w:t>项目设置一处危险废物暂存间，设置于厂区西南角（面积约</w:t>
            </w:r>
            <w:r>
              <w:rPr>
                <w:rFonts w:hint="eastAsia" w:ascii="Times New Roman" w:hAnsi="Times New Roman" w:eastAsia="宋体" w:cs="Times New Roman"/>
                <w:color w:val="auto"/>
                <w:lang w:val="en-US" w:eastAsia="zh-CN"/>
              </w:rPr>
              <w:t>2m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），储存能力为</w:t>
            </w:r>
            <w:r>
              <w:rPr>
                <w:rFonts w:hint="eastAsia" w:ascii="Times New Roman" w:hAnsi="Times New Roman" w:eastAsia="宋体" w:cs="Times New Roman"/>
                <w:color w:val="auto"/>
                <w:lang w:val="en-US" w:eastAsia="zh-CN"/>
              </w:rPr>
              <w:t>1-2t。项目危险废物年产生量约0.15t，危废间可满足危险废物一年储存要求。</w:t>
            </w:r>
            <w:r>
              <w:rPr>
                <w:rFonts w:hint="eastAsia" w:ascii="Times New Roman" w:hAnsi="Times New Roman" w:eastAsia="宋体" w:cs="Times New Roman"/>
                <w:color w:val="auto"/>
                <w:lang w:eastAsia="zh-CN"/>
              </w:rPr>
              <w:t>危废暂存间</w:t>
            </w:r>
            <w:r>
              <w:rPr>
                <w:rFonts w:hint="default" w:ascii="Times New Roman" w:hAnsi="Times New Roman" w:eastAsia="宋体" w:cs="Times New Roman"/>
                <w:color w:val="auto"/>
              </w:rPr>
              <w:t>具体设计要求如下：</w:t>
            </w:r>
          </w:p>
          <w:p>
            <w:pPr>
              <w:pStyle w:val="38"/>
              <w:widowControl w:val="0"/>
              <w:autoSpaceDE w:val="0"/>
              <w:spacing w:before="0" w:beforeAutospacing="0" w:after="0" w:afterAutospacing="0" w:line="360" w:lineRule="auto"/>
              <w:ind w:firstLine="480" w:firstLineChars="20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危险废物贮存</w:t>
            </w:r>
            <w:r>
              <w:rPr>
                <w:rFonts w:hint="eastAsia" w:ascii="Times New Roman" w:hAnsi="Times New Roman" w:eastAsia="宋体" w:cs="Times New Roman"/>
                <w:color w:val="auto"/>
                <w:lang w:eastAsia="zh-CN"/>
              </w:rPr>
              <w:t>容器</w:t>
            </w:r>
            <w:r>
              <w:rPr>
                <w:rFonts w:hint="default" w:ascii="Times New Roman" w:hAnsi="Times New Roman" w:eastAsia="宋体" w:cs="Times New Roman"/>
                <w:color w:val="auto"/>
              </w:rPr>
              <w:t>的</w:t>
            </w:r>
            <w:r>
              <w:rPr>
                <w:rFonts w:hint="eastAsia" w:ascii="Times New Roman" w:hAnsi="Times New Roman" w:eastAsia="宋体" w:cs="Times New Roman"/>
                <w:color w:val="auto"/>
                <w:lang w:eastAsia="zh-CN"/>
              </w:rPr>
              <w:t>要求</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a.</w:t>
            </w:r>
            <w:r>
              <w:rPr>
                <w:rFonts w:hint="default" w:ascii="Times New Roman" w:hAnsi="Times New Roman" w:eastAsia="宋体" w:cs="Times New Roman"/>
                <w:color w:val="auto"/>
              </w:rPr>
              <w:t>有符合要求的包装容器、收集人员的个人防护设备。</w:t>
            </w:r>
          </w:p>
          <w:p>
            <w:pPr>
              <w:pStyle w:val="38"/>
              <w:widowControl w:val="0"/>
              <w:autoSpaceDE w:val="0"/>
              <w:spacing w:before="0" w:beforeAutospacing="0" w:after="0" w:afterAutospacing="0" w:line="360" w:lineRule="auto"/>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b.危险废物的收集容器应在醒目位置贴有危险废物标签，在收集场所醒目的地方设置危险废物警告标识。</w:t>
            </w:r>
          </w:p>
          <w:p>
            <w:pPr>
              <w:pStyle w:val="38"/>
              <w:widowControl w:val="0"/>
              <w:autoSpaceDE w:val="0"/>
              <w:spacing w:before="0" w:beforeAutospacing="0" w:after="0" w:afterAutospacing="0" w:line="360" w:lineRule="auto"/>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c.危险废物标签应标明以下信息：主要化学成分或危险废物名称、数量、物理形态、危险类别、安全措施以及危险废物产生单位名称、地址、联系人及电话。</w:t>
            </w:r>
          </w:p>
          <w:p>
            <w:pPr>
              <w:pStyle w:val="38"/>
              <w:widowControl w:val="0"/>
              <w:autoSpaceDE w:val="0"/>
              <w:spacing w:before="0" w:beforeAutospacing="0" w:after="0" w:afterAutospacing="0" w:line="360" w:lineRule="auto"/>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2）危险废物贮存设施的设计要求</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危废间严格按《危险废物贮存污染控制标准》（GB18597-2023）要求建设，危废间密闭，防风、防雨和防晒，地面做防腐、防渗处理。</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选址可行性分析</w:t>
            </w:r>
          </w:p>
          <w:p>
            <w:pPr>
              <w:pStyle w:val="38"/>
              <w:widowControl w:val="0"/>
              <w:autoSpaceDE w:val="0"/>
              <w:spacing w:before="0" w:beforeAutospacing="0" w:after="0" w:afterAutospacing="0" w:line="360" w:lineRule="auto"/>
              <w:ind w:firstLine="480" w:firstLineChars="20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本项目危废间选址满足生态环境保护法律法规、规划和“三线一单”生态环境分区管控要求，选址不涉及生态红线区域</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永久基本农田和其他需要特别保护的区域内，不在溶洞区或易遭受洪水、滑坡、泥石流、潮汐等严重自然灾害影响的地区，且不在江河、湖泊、运河、渠道、水库及其最高水位线以下的滩地和岸坡，以及法律法规定禁止贮存危险废物的区域</w:t>
            </w:r>
            <w:r>
              <w:rPr>
                <w:rFonts w:hint="eastAsia" w:ascii="Times New Roman" w:hAnsi="Times New Roman" w:eastAsia="宋体" w:cs="Times New Roman"/>
                <w:color w:val="auto"/>
                <w:lang w:eastAsia="zh-CN"/>
              </w:rPr>
              <w:t>。</w:t>
            </w:r>
          </w:p>
          <w:p>
            <w:pPr>
              <w:pStyle w:val="38"/>
              <w:widowControl w:val="0"/>
              <w:autoSpaceDE w:val="0"/>
              <w:spacing w:before="0" w:beforeAutospacing="0" w:after="0" w:afterAutospacing="0" w:line="360" w:lineRule="auto"/>
              <w:ind w:firstLine="480" w:firstLineChars="20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综上，危废间选址满足《危险废物贮存污染控制标准》（</w:t>
            </w:r>
            <w:r>
              <w:rPr>
                <w:rFonts w:hint="eastAsia" w:ascii="Times New Roman" w:hAnsi="Times New Roman" w:eastAsia="宋体" w:cs="Times New Roman"/>
                <w:color w:val="auto"/>
                <w:lang w:val="en-US" w:eastAsia="zh-CN"/>
              </w:rPr>
              <w:t>GB18597-2023</w:t>
            </w:r>
            <w:r>
              <w:rPr>
                <w:rFonts w:hint="eastAsia" w:ascii="Times New Roman" w:hAnsi="Times New Roman" w:eastAsia="宋体" w:cs="Times New Roman"/>
                <w:color w:val="auto"/>
                <w:lang w:eastAsia="zh-CN"/>
              </w:rPr>
              <w:t>）要求。</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危废贮存建设要求及影响分析</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危废间地面、墙裙将严格按《危险废物贮存污染控制标准》（GB18597-2023）要求进行防腐防渗，防渗层满足至少1m厚黏土层（渗透系数不大于10-7cm/s），或至少2mm厚高密度聚乙烯膜等人工防渗材料（渗透系数不大于10-10cm/s）要求，贮存分区内地面、墙面裙脚、堵截泄漏的围堰、接触危险废物的隔板和墙体等均采用坚固的材料建造，表面无裂缝；危废按种类分区存放，避免不相容的危险废物接触、混合；且同一贮存设施宜采用相同的防渗、防腐工艺（包括防渗、防腐结构或材料），防渗、防腐材料。</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本项目产生的危险固废采用封闭桶装储存，在存放区域设围堰，设置围堰容积量应不小于危废包装桶的最大容积。综上所述，本项目危废间满足《危险废物贮存污染控制标准》（GB18597-2023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中要求，危废暂存过程对外环境影响较小。</w:t>
            </w:r>
          </w:p>
          <w:p>
            <w:pPr>
              <w:pStyle w:val="38"/>
              <w:widowControl w:val="0"/>
              <w:autoSpaceDE w:val="0"/>
              <w:spacing w:before="0" w:beforeAutospacing="0" w:after="0" w:afterAutospacing="0" w:line="360" w:lineRule="auto"/>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运输过程影响分析</w:t>
            </w:r>
          </w:p>
          <w:p>
            <w:pPr>
              <w:pStyle w:val="38"/>
              <w:widowControl w:val="0"/>
              <w:autoSpaceDE w:val="0"/>
              <w:spacing w:before="0" w:beforeAutospacing="0" w:after="0" w:afterAutospacing="0" w:line="360" w:lineRule="auto"/>
              <w:ind w:firstLine="480" w:firstLineChars="20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a.</w:t>
            </w:r>
            <w:r>
              <w:rPr>
                <w:rFonts w:hint="eastAsia" w:ascii="Times New Roman" w:hAnsi="Times New Roman" w:eastAsia="宋体" w:cs="Times New Roman"/>
                <w:color w:val="auto"/>
                <w:lang w:eastAsia="zh-CN"/>
              </w:rPr>
              <w:t>本项目采用人工运输的方式将危险废物从厂房转移到危险废物暂存间暂存。</w:t>
            </w:r>
            <w:r>
              <w:rPr>
                <w:rFonts w:hint="default" w:ascii="Times New Roman" w:hAnsi="Times New Roman" w:eastAsia="宋体" w:cs="Times New Roman"/>
                <w:color w:val="auto"/>
                <w:lang w:val="en-US" w:eastAsia="zh-CN"/>
              </w:rPr>
              <w:t>根据危险废物的类别、形态、理化性质确定包装形式，厂内转运过程中做好防渗、防漏、防扬散等环境保护措施；</w:t>
            </w:r>
            <w:r>
              <w:rPr>
                <w:rFonts w:hint="eastAsia" w:ascii="Times New Roman" w:hAnsi="Times New Roman" w:eastAsia="宋体" w:cs="Times New Roman"/>
                <w:color w:val="auto"/>
                <w:lang w:eastAsia="zh-CN"/>
              </w:rPr>
              <w:t>在运输过程中应尽量小心，轻拿轻放，避免破坏包装容器，发生危险废物散落、泄漏等情况发生。一旦发生散落、泄漏，工作人员应迅速找到泄漏点，防止危险废物继续泄漏，然后将破损桶内危险废物转移至其他空桶内暂存。已经散落、泄漏的少量危险废物应尽快收集，采用活性炭或其它惰性材料吸附处理，废吸附材料收集至废包装桶中，暂存于危险废物暂存处，和其他危险废物一并交由具有相应处理资质的单位处理。</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b.</w:t>
            </w:r>
            <w:r>
              <w:rPr>
                <w:rFonts w:hint="default" w:ascii="Times New Roman" w:hAnsi="Times New Roman" w:eastAsia="宋体" w:cs="Times New Roman"/>
                <w:color w:val="auto"/>
                <w:lang w:val="en-US" w:eastAsia="zh-CN"/>
              </w:rPr>
              <w:t>项目危废暂存场由专业人员操作，单独收集和贮运，严格执行国家和省有关转移管理的相关规定、处置过程安全操作规程、人员培训考核制度、档案管理制度、处置全过程管理制度等，并制定好危险废物转移运输途中的污染防范及事故应急措施，严格按照要求办理有关手续。</w:t>
            </w:r>
          </w:p>
          <w:p>
            <w:pPr>
              <w:pStyle w:val="38"/>
              <w:widowControl w:val="0"/>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c.</w:t>
            </w:r>
            <w:r>
              <w:rPr>
                <w:rFonts w:hint="default" w:ascii="Times New Roman" w:hAnsi="Times New Roman" w:eastAsia="宋体" w:cs="Times New Roman"/>
                <w:color w:val="auto"/>
              </w:rPr>
              <w:t>危险废物运输应由相应运输资质的单位接收，危险废物的运输应采取危险废物转移“电子联单”制度，保证运输安全防止非法转移和非法处置。</w:t>
            </w:r>
          </w:p>
          <w:p>
            <w:pPr>
              <w:adjustRightInd w:val="0"/>
              <w:snapToGrid w:val="0"/>
              <w:spacing w:line="360" w:lineRule="auto"/>
              <w:ind w:firstLine="482" w:firstLineChars="200"/>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4、防控措施</w:t>
            </w:r>
          </w:p>
          <w:p>
            <w:pPr>
              <w:pStyle w:val="62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（1）源头控制措施</w:t>
            </w:r>
          </w:p>
          <w:p>
            <w:pPr>
              <w:pStyle w:val="62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根据工程分析，项目通过有效的环保措施，</w:t>
            </w:r>
            <w:r>
              <w:rPr>
                <w:rFonts w:hint="eastAsia" w:cs="Times New Roman"/>
                <w:color w:val="auto"/>
                <w:lang w:eastAsia="zh-CN"/>
              </w:rPr>
              <w:t>生产过程中产生的废气可</w:t>
            </w:r>
            <w:r>
              <w:rPr>
                <w:rFonts w:hint="default" w:ascii="Times New Roman" w:hAnsi="Times New Roman" w:eastAsia="宋体" w:cs="Times New Roman"/>
                <w:color w:val="auto"/>
              </w:rPr>
              <w:t>达标排放</w:t>
            </w:r>
            <w:r>
              <w:rPr>
                <w:rFonts w:hint="eastAsia" w:cs="Times New Roman"/>
                <w:color w:val="auto"/>
                <w:lang w:eastAsia="zh-CN"/>
              </w:rPr>
              <w:t>；生活污水</w:t>
            </w:r>
            <w:r>
              <w:rPr>
                <w:rFonts w:hint="eastAsia" w:cs="Times New Roman"/>
                <w:color w:val="auto"/>
                <w:lang w:val="en-US" w:eastAsia="zh-CN"/>
              </w:rPr>
              <w:t>经化粪池处理后排入高新技术产业园深度处理达标排放，车辆冲洗水经</w:t>
            </w:r>
            <w:r>
              <w:rPr>
                <w:rFonts w:hint="eastAsia" w:cs="Times New Roman"/>
                <w:color w:val="auto"/>
                <w:lang w:eastAsia="zh-CN"/>
              </w:rPr>
              <w:t>处理</w:t>
            </w:r>
            <w:r>
              <w:rPr>
                <w:rFonts w:hint="eastAsia" w:cs="Times New Roman"/>
                <w:color w:val="auto"/>
                <w:lang w:val="en-US" w:eastAsia="zh-CN"/>
              </w:rPr>
              <w:t>后循环利用，不外排；</w:t>
            </w:r>
            <w:r>
              <w:rPr>
                <w:rFonts w:hint="default" w:ascii="Times New Roman" w:hAnsi="Times New Roman" w:eastAsia="宋体" w:cs="Times New Roman"/>
                <w:color w:val="auto"/>
              </w:rPr>
              <w:t>各类固态废物均能得以妥善处置，有效减少</w:t>
            </w:r>
            <w:r>
              <w:rPr>
                <w:rFonts w:hint="eastAsia" w:cs="Times New Roman"/>
                <w:color w:val="auto"/>
                <w:lang w:eastAsia="zh-CN"/>
              </w:rPr>
              <w:t>对环境的影响</w:t>
            </w:r>
            <w:r>
              <w:rPr>
                <w:rFonts w:hint="default" w:ascii="Times New Roman" w:hAnsi="Times New Roman" w:eastAsia="宋体" w:cs="Times New Roman"/>
                <w:color w:val="auto"/>
              </w:rPr>
              <w:t>。</w:t>
            </w:r>
          </w:p>
          <w:p>
            <w:pPr>
              <w:pStyle w:val="62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（2）分区防治措施</w:t>
            </w:r>
          </w:p>
          <w:p>
            <w:pPr>
              <w:pStyle w:val="620"/>
              <w:ind w:firstLine="480"/>
              <w:jc w:val="left"/>
              <w:rPr>
                <w:rFonts w:hint="eastAsia" w:cs="Times New Roman"/>
                <w:color w:val="auto"/>
                <w:lang w:val="en-US" w:eastAsia="zh-CN"/>
              </w:rPr>
            </w:pPr>
            <w:r>
              <w:rPr>
                <w:rFonts w:hint="eastAsia" w:cs="Times New Roman"/>
                <w:color w:val="auto"/>
                <w:lang w:eastAsia="zh-CN"/>
              </w:rPr>
              <w:t>本项目租赁宜春市奉新县高新技术产业园区陆丰管业厂区</w:t>
            </w:r>
            <w:r>
              <w:rPr>
                <w:rFonts w:hint="eastAsia" w:cs="Times New Roman"/>
                <w:color w:val="auto"/>
                <w:lang w:val="en-US" w:eastAsia="zh-CN"/>
              </w:rPr>
              <w:t>9号厂房</w:t>
            </w:r>
            <w:r>
              <w:rPr>
                <w:rFonts w:hint="eastAsia" w:cs="Times New Roman"/>
                <w:color w:val="auto"/>
                <w:lang w:eastAsia="zh-CN"/>
              </w:rPr>
              <w:t>进行生产同时租赁陆丰管业厂区空置房间用于日常生活，生产厂房内建设有原、辅料堆放场、一般固废间、危废间、洗车池</w:t>
            </w:r>
            <w:r>
              <w:rPr>
                <w:rFonts w:hint="eastAsia" w:cs="Times New Roman"/>
                <w:color w:val="auto"/>
                <w:lang w:val="en-US" w:eastAsia="zh-CN"/>
              </w:rPr>
              <w:t>、沉淀池及破碎间</w:t>
            </w:r>
            <w:r>
              <w:rPr>
                <w:rFonts w:hint="eastAsia" w:cs="Times New Roman"/>
                <w:color w:val="auto"/>
                <w:lang w:eastAsia="zh-CN"/>
              </w:rPr>
              <w:t>等；生活区建设有食堂、宿舍、卫生间、办公室等</w:t>
            </w:r>
            <w:r>
              <w:rPr>
                <w:rFonts w:hint="eastAsia" w:cs="Times New Roman"/>
                <w:color w:val="auto"/>
                <w:lang w:val="en-US" w:eastAsia="zh-CN"/>
              </w:rPr>
              <w:t>。本项目的分区防渗控制措施主要针对生产厂房及生活区内不同区域进行相应的分区防渗工作。</w:t>
            </w:r>
          </w:p>
          <w:p>
            <w:pPr>
              <w:pStyle w:val="620"/>
              <w:ind w:firstLine="48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重点防渗区防渗要求：危废间</w:t>
            </w:r>
            <w:r>
              <w:rPr>
                <w:rFonts w:hint="eastAsia" w:cs="Times New Roman"/>
                <w:color w:val="auto"/>
                <w:lang w:val="en-US" w:eastAsia="zh-CN"/>
              </w:rPr>
              <w:t>、化粪池、洗车池及沉淀池</w:t>
            </w:r>
            <w:r>
              <w:rPr>
                <w:rFonts w:hint="eastAsia" w:ascii="Times New Roman" w:hAnsi="Times New Roman" w:eastAsia="宋体" w:cs="Times New Roman"/>
                <w:color w:val="auto"/>
                <w:lang w:val="en-US" w:eastAsia="zh-CN"/>
              </w:rPr>
              <w:t>采用水泥硬化，1m高以下的墙裙铺及地面设环氧树脂涂层进行防渗、防腐措施。</w:t>
            </w:r>
          </w:p>
          <w:p>
            <w:pPr>
              <w:pStyle w:val="620"/>
              <w:numPr>
                <w:ilvl w:val="0"/>
                <w:numId w:val="0"/>
              </w:numPr>
              <w:ind w:firstLine="480" w:firstLineChars="200"/>
              <w:jc w:val="left"/>
              <w:rPr>
                <w:rFonts w:hint="default" w:cs="Times New Roman"/>
                <w:color w:val="auto"/>
                <w:lang w:val="en-US" w:eastAsia="zh-CN"/>
              </w:rPr>
            </w:pPr>
            <w:r>
              <w:rPr>
                <w:rFonts w:hint="eastAsia" w:cs="Times New Roman"/>
                <w:color w:val="auto"/>
                <w:lang w:val="en-US" w:eastAsia="zh-CN"/>
              </w:rPr>
              <w:t>一般防渗区防渗要求：一般固废暂存间，原、辅材料堆场，生产区域等需要进行一般防渗，防止物料运输时跑、冒、滴、漏废液污染地下水。</w:t>
            </w:r>
          </w:p>
          <w:p>
            <w:pPr>
              <w:pStyle w:val="620"/>
              <w:ind w:firstLine="480"/>
              <w:jc w:val="left"/>
              <w:rPr>
                <w:rFonts w:hint="default" w:ascii="Times New Roman" w:hAnsi="Times New Roman" w:eastAsia="宋体" w:cs="Times New Roman"/>
                <w:color w:val="auto"/>
                <w:lang w:val="en-US" w:eastAsia="zh-CN"/>
              </w:rPr>
            </w:pPr>
            <w:r>
              <w:rPr>
                <w:rFonts w:hint="eastAsia" w:cs="Times New Roman"/>
                <w:color w:val="auto"/>
                <w:lang w:val="en-US" w:eastAsia="zh-CN"/>
              </w:rPr>
              <w:t>简单防渗区防渗要求：办公楼、食堂及宿舍等区域仅为员工日常生活使用，不进行任何相关生产活动，日常生活产生的生活污水均通过管道输送至化粪池内进行处理，故不会出现办公楼、食堂及宿舍等地污水渗漏造成污染的情况，故办公楼、食堂、宿舍及园区路面等防渗措施仅为一般地面硬化。</w:t>
            </w:r>
          </w:p>
          <w:p>
            <w:pPr>
              <w:pStyle w:val="620"/>
              <w:ind w:firstLine="48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rPr>
              <w:t>项目污染区划分及防渗等级一览表</w:t>
            </w:r>
          </w:p>
          <w:tbl>
            <w:tblPr>
              <w:tblStyle w:val="57"/>
              <w:tblW w:w="11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4834"/>
              <w:gridCol w:w="1313"/>
              <w:gridCol w:w="5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b/>
                      <w:color w:val="auto"/>
                      <w:kern w:val="21"/>
                      <w:sz w:val="21"/>
                      <w:szCs w:val="21"/>
                    </w:rPr>
                  </w:pPr>
                  <w:r>
                    <w:rPr>
                      <w:rFonts w:hint="default" w:ascii="Times New Roman" w:hAnsi="Times New Roman" w:eastAsia="宋体" w:cs="Times New Roman"/>
                      <w:b/>
                      <w:color w:val="auto"/>
                      <w:kern w:val="21"/>
                      <w:sz w:val="21"/>
                      <w:szCs w:val="21"/>
                    </w:rPr>
                    <w:t>序号</w:t>
                  </w:r>
                </w:p>
              </w:tc>
              <w:tc>
                <w:tcPr>
                  <w:tcW w:w="4834"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b/>
                      <w:color w:val="auto"/>
                      <w:kern w:val="21"/>
                      <w:sz w:val="21"/>
                      <w:szCs w:val="21"/>
                    </w:rPr>
                  </w:pPr>
                  <w:r>
                    <w:rPr>
                      <w:rFonts w:hint="default" w:ascii="Times New Roman" w:hAnsi="Times New Roman" w:eastAsia="宋体" w:cs="Times New Roman"/>
                      <w:b/>
                      <w:color w:val="auto"/>
                      <w:kern w:val="21"/>
                      <w:sz w:val="21"/>
                      <w:szCs w:val="21"/>
                    </w:rPr>
                    <w:t>防渗区域或部位</w:t>
                  </w:r>
                </w:p>
              </w:tc>
              <w:tc>
                <w:tcPr>
                  <w:tcW w:w="1313"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b/>
                      <w:color w:val="auto"/>
                      <w:kern w:val="21"/>
                      <w:sz w:val="21"/>
                      <w:szCs w:val="21"/>
                    </w:rPr>
                  </w:pPr>
                  <w:r>
                    <w:rPr>
                      <w:rFonts w:hint="default" w:ascii="Times New Roman" w:hAnsi="Times New Roman" w:eastAsia="宋体" w:cs="Times New Roman"/>
                      <w:b/>
                      <w:color w:val="auto"/>
                      <w:kern w:val="21"/>
                      <w:sz w:val="21"/>
                      <w:szCs w:val="21"/>
                    </w:rPr>
                    <w:t>防渗等级</w:t>
                  </w:r>
                </w:p>
              </w:tc>
              <w:tc>
                <w:tcPr>
                  <w:tcW w:w="5002"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b/>
                      <w:color w:val="auto"/>
                      <w:kern w:val="21"/>
                      <w:sz w:val="21"/>
                      <w:szCs w:val="21"/>
                    </w:rPr>
                  </w:pPr>
                  <w:r>
                    <w:rPr>
                      <w:rFonts w:hint="default" w:ascii="Times New Roman" w:hAnsi="Times New Roman" w:eastAsia="宋体" w:cs="Times New Roman"/>
                      <w:b/>
                      <w:color w:val="auto"/>
                      <w:kern w:val="21"/>
                      <w:sz w:val="21"/>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kern w:val="21"/>
                      <w:sz w:val="21"/>
                      <w:szCs w:val="21"/>
                      <w:lang w:val="en-US" w:eastAsia="zh-CN"/>
                    </w:rPr>
                    <w:t>1</w:t>
                  </w:r>
                </w:p>
              </w:tc>
              <w:tc>
                <w:tcPr>
                  <w:tcW w:w="4834"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eastAsia"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kern w:val="21"/>
                      <w:sz w:val="21"/>
                      <w:szCs w:val="21"/>
                      <w:lang w:val="en-US" w:eastAsia="zh-CN"/>
                    </w:rPr>
                    <w:t>危废暂存间</w:t>
                  </w:r>
                  <w:r>
                    <w:rPr>
                      <w:rFonts w:hint="eastAsia" w:ascii="Times New Roman" w:hAnsi="Times New Roman" w:eastAsia="宋体" w:cs="Times New Roman"/>
                      <w:color w:val="FF0000"/>
                      <w:kern w:val="21"/>
                      <w:sz w:val="21"/>
                      <w:szCs w:val="21"/>
                      <w:lang w:val="en-US" w:eastAsia="zh-CN"/>
                    </w:rPr>
                    <w:t>、化粪池、洗车池、沉淀池、初期雨水池</w:t>
                  </w:r>
                </w:p>
              </w:tc>
              <w:tc>
                <w:tcPr>
                  <w:tcW w:w="1313"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color w:val="auto"/>
                      <w:kern w:val="21"/>
                      <w:sz w:val="21"/>
                      <w:szCs w:val="21"/>
                    </w:rPr>
                  </w:pPr>
                  <w:r>
                    <w:rPr>
                      <w:rFonts w:hint="eastAsia" w:ascii="Times New Roman" w:hAnsi="Times New Roman" w:eastAsia="宋体" w:cs="Times New Roman"/>
                      <w:color w:val="auto"/>
                      <w:kern w:val="21"/>
                      <w:sz w:val="21"/>
                      <w:szCs w:val="21"/>
                      <w:lang w:eastAsia="zh-CN"/>
                    </w:rPr>
                    <w:t>重点防渗区</w:t>
                  </w:r>
                </w:p>
              </w:tc>
              <w:tc>
                <w:tcPr>
                  <w:tcW w:w="5002"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color w:val="FF0000"/>
                      <w:kern w:val="21"/>
                      <w:sz w:val="21"/>
                      <w:szCs w:val="21"/>
                    </w:rPr>
                  </w:pPr>
                  <w:r>
                    <w:rPr>
                      <w:rFonts w:hint="eastAsia" w:ascii="Times New Roman" w:hAnsi="Times New Roman" w:eastAsia="宋体" w:cs="Times New Roman"/>
                      <w:color w:val="FF0000"/>
                      <w:kern w:val="21"/>
                      <w:sz w:val="21"/>
                      <w:szCs w:val="21"/>
                      <w:lang w:eastAsia="zh-CN"/>
                    </w:rPr>
                    <w:t>危废暂存间依据《危险废物贮存污染控制标准》GB18597-2023 防渗要求，渗透系数 ≤10</w:t>
                  </w:r>
                  <w:r>
                    <w:rPr>
                      <w:rFonts w:hint="eastAsia" w:ascii="Times New Roman" w:hAnsi="Times New Roman" w:eastAsia="宋体" w:cs="Times New Roman"/>
                      <w:color w:val="FF0000"/>
                      <w:kern w:val="21"/>
                      <w:sz w:val="21"/>
                      <w:szCs w:val="21"/>
                      <w:vertAlign w:val="superscript"/>
                      <w:lang w:eastAsia="zh-CN"/>
                    </w:rPr>
                    <w:t>-10</w:t>
                  </w:r>
                  <w:r>
                    <w:rPr>
                      <w:rFonts w:hint="eastAsia" w:ascii="Times New Roman" w:hAnsi="Times New Roman" w:eastAsia="宋体" w:cs="Times New Roman"/>
                      <w:color w:val="FF0000"/>
                      <w:kern w:val="21"/>
                      <w:sz w:val="21"/>
                      <w:szCs w:val="21"/>
                      <w:lang w:eastAsia="zh-CN"/>
                    </w:rPr>
                    <w:t>cm/s；洗车池、沉淀池、化粪池、初期雨水池防渗要求为：等效黏土防渗层厚≥6.0m，渗透系数≤1.0×10</w:t>
                  </w:r>
                  <w:r>
                    <w:rPr>
                      <w:rFonts w:hint="eastAsia" w:ascii="Times New Roman" w:hAnsi="Times New Roman" w:eastAsia="宋体" w:cs="Times New Roman"/>
                      <w:color w:val="FF0000"/>
                      <w:kern w:val="21"/>
                      <w:sz w:val="21"/>
                      <w:szCs w:val="21"/>
                      <w:vertAlign w:val="superscript"/>
                      <w:lang w:eastAsia="zh-CN"/>
                    </w:rPr>
                    <w:t>-7</w:t>
                  </w:r>
                  <w:r>
                    <w:rPr>
                      <w:rFonts w:hint="eastAsia" w:ascii="Times New Roman" w:hAnsi="Times New Roman" w:eastAsia="宋体" w:cs="Times New Roman"/>
                      <w:color w:val="FF0000"/>
                      <w:kern w:val="21"/>
                      <w:sz w:val="21"/>
                      <w:szCs w:val="21"/>
                      <w:lang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kern w:val="21"/>
                      <w:sz w:val="21"/>
                      <w:szCs w:val="21"/>
                      <w:lang w:val="en-US" w:eastAsia="zh-CN"/>
                    </w:rPr>
                    <w:t>2</w:t>
                  </w:r>
                </w:p>
              </w:tc>
              <w:tc>
                <w:tcPr>
                  <w:tcW w:w="4834"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kern w:val="21"/>
                      <w:sz w:val="21"/>
                      <w:szCs w:val="21"/>
                      <w:lang w:val="en-US" w:eastAsia="zh-CN"/>
                    </w:rPr>
                    <w:t>原辅材料堆场、</w:t>
                  </w:r>
                  <w:r>
                    <w:rPr>
                      <w:rFonts w:hint="default" w:ascii="Times New Roman" w:hAnsi="Times New Roman" w:eastAsia="宋体" w:cs="Times New Roman"/>
                      <w:color w:val="auto"/>
                      <w:kern w:val="21"/>
                      <w:sz w:val="21"/>
                      <w:szCs w:val="21"/>
                      <w:lang w:val="en-US" w:eastAsia="zh-CN"/>
                    </w:rPr>
                    <w:t>一般固废间</w:t>
                  </w:r>
                  <w:r>
                    <w:rPr>
                      <w:rFonts w:hint="eastAsia" w:ascii="Times New Roman" w:hAnsi="Times New Roman" w:eastAsia="宋体" w:cs="Times New Roman"/>
                      <w:color w:val="auto"/>
                      <w:kern w:val="21"/>
                      <w:sz w:val="21"/>
                      <w:szCs w:val="21"/>
                      <w:lang w:val="en-US" w:eastAsia="zh-CN"/>
                    </w:rPr>
                    <w:t>、生产区域等</w:t>
                  </w:r>
                </w:p>
              </w:tc>
              <w:tc>
                <w:tcPr>
                  <w:tcW w:w="1313"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rPr>
                    <w:t>一般防渗区</w:t>
                  </w:r>
                </w:p>
              </w:tc>
              <w:tc>
                <w:tcPr>
                  <w:tcW w:w="5002"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rPr>
                    <w:t>等效黏土防渗层Mb≧1.5m，渗透系数≤10</w:t>
                  </w:r>
                  <w:r>
                    <w:rPr>
                      <w:rFonts w:hint="default" w:ascii="Times New Roman" w:hAnsi="Times New Roman" w:eastAsia="宋体" w:cs="Times New Roman"/>
                      <w:color w:val="auto"/>
                      <w:kern w:val="21"/>
                      <w:sz w:val="21"/>
                      <w:szCs w:val="21"/>
                      <w:lang w:eastAsia="zh-CN"/>
                    </w:rPr>
                    <w:t>—</w:t>
                  </w:r>
                  <w:r>
                    <w:rPr>
                      <w:rFonts w:hint="default" w:ascii="Times New Roman" w:hAnsi="Times New Roman" w:eastAsia="宋体" w:cs="Times New Roman"/>
                      <w:color w:val="auto"/>
                      <w:kern w:val="21"/>
                      <w:sz w:val="21"/>
                      <w:szCs w:val="21"/>
                      <w:vertAlign w:val="superscript"/>
                    </w:rPr>
                    <w:t>7</w:t>
                  </w:r>
                  <w:r>
                    <w:rPr>
                      <w:rFonts w:hint="default" w:ascii="Times New Roman" w:hAnsi="Times New Roman" w:eastAsia="宋体" w:cs="Times New Roman"/>
                      <w:color w:val="auto"/>
                      <w:kern w:val="21"/>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kern w:val="21"/>
                      <w:sz w:val="21"/>
                      <w:szCs w:val="21"/>
                      <w:lang w:val="en-US" w:eastAsia="zh-CN"/>
                    </w:rPr>
                    <w:t>3</w:t>
                  </w:r>
                </w:p>
              </w:tc>
              <w:tc>
                <w:tcPr>
                  <w:tcW w:w="4834"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办公室、</w:t>
                  </w:r>
                  <w:r>
                    <w:rPr>
                      <w:rFonts w:hint="eastAsia" w:ascii="Times New Roman" w:hAnsi="Times New Roman" w:eastAsia="宋体" w:cs="Times New Roman"/>
                      <w:color w:val="auto"/>
                      <w:kern w:val="21"/>
                      <w:sz w:val="21"/>
                      <w:szCs w:val="21"/>
                      <w:lang w:val="en-US" w:eastAsia="zh-CN"/>
                    </w:rPr>
                    <w:t>食堂、宿舍、</w:t>
                  </w:r>
                  <w:r>
                    <w:rPr>
                      <w:rFonts w:hint="default" w:ascii="Times New Roman" w:hAnsi="Times New Roman" w:eastAsia="宋体" w:cs="Times New Roman"/>
                      <w:color w:val="auto"/>
                      <w:kern w:val="21"/>
                      <w:sz w:val="21"/>
                      <w:szCs w:val="21"/>
                      <w:lang w:val="en-US" w:eastAsia="zh-CN"/>
                    </w:rPr>
                    <w:t>其他区域</w:t>
                  </w:r>
                </w:p>
              </w:tc>
              <w:tc>
                <w:tcPr>
                  <w:tcW w:w="1313"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简单防渗区</w:t>
                  </w:r>
                </w:p>
              </w:tc>
              <w:tc>
                <w:tcPr>
                  <w:tcW w:w="5002" w:type="dxa"/>
                  <w:tcBorders>
                    <w:top w:val="single" w:color="auto" w:sz="4" w:space="0"/>
                    <w:left w:val="single" w:color="auto" w:sz="4" w:space="0"/>
                    <w:bottom w:val="single" w:color="auto" w:sz="4" w:space="0"/>
                    <w:right w:val="single" w:color="auto" w:sz="4" w:space="0"/>
                  </w:tcBorders>
                  <w:vAlign w:val="center"/>
                </w:tcPr>
                <w:p>
                  <w:pPr>
                    <w:pStyle w:val="77"/>
                    <w:overflowPunct w:val="0"/>
                    <w:autoSpaceDN/>
                    <w:snapToGrid w:val="0"/>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sz w:val="21"/>
                      <w:szCs w:val="21"/>
                      <w:highlight w:val="none"/>
                      <w:lang w:eastAsia="zh-CN"/>
                    </w:rPr>
                    <w:t>一般地面硬化</w:t>
                  </w:r>
                </w:p>
              </w:tc>
            </w:tr>
          </w:tbl>
          <w:p>
            <w:pPr>
              <w:adjustRightInd w:val="0"/>
              <w:snapToGrid w:val="0"/>
              <w:spacing w:line="360" w:lineRule="auto"/>
              <w:ind w:firstLine="482" w:firstLineChars="200"/>
              <w:rPr>
                <w:rFonts w:hint="eastAsia" w:ascii="Times New Roman" w:hAnsi="Times New Roman" w:eastAsia="宋体" w:cs="Times New Roman"/>
                <w:b/>
                <w:color w:val="auto"/>
                <w:kern w:val="0"/>
                <w:sz w:val="24"/>
                <w:szCs w:val="24"/>
                <w:lang w:eastAsia="zh-CN"/>
              </w:rPr>
            </w:pPr>
            <w:r>
              <w:rPr>
                <w:rFonts w:hint="eastAsia" w:ascii="Times New Roman" w:hAnsi="Times New Roman" w:eastAsia="宋体" w:cs="Times New Roman"/>
                <w:b/>
                <w:color w:val="auto"/>
                <w:kern w:val="0"/>
                <w:sz w:val="24"/>
                <w:szCs w:val="24"/>
                <w:lang w:val="en-US" w:eastAsia="zh-CN"/>
              </w:rPr>
              <w:t>5、</w:t>
            </w:r>
            <w:r>
              <w:rPr>
                <w:rFonts w:hint="eastAsia" w:ascii="Times New Roman" w:hAnsi="Times New Roman" w:eastAsia="宋体" w:cs="Times New Roman"/>
                <w:b/>
                <w:color w:val="auto"/>
                <w:kern w:val="0"/>
                <w:sz w:val="24"/>
                <w:szCs w:val="24"/>
                <w:lang w:eastAsia="zh-CN"/>
              </w:rPr>
              <w:t>运营期</w:t>
            </w:r>
            <w:r>
              <w:rPr>
                <w:rFonts w:hint="default" w:ascii="Times New Roman" w:hAnsi="Times New Roman" w:eastAsia="宋体" w:cs="Times New Roman"/>
                <w:b/>
                <w:color w:val="auto"/>
                <w:kern w:val="0"/>
                <w:sz w:val="24"/>
                <w:szCs w:val="24"/>
              </w:rPr>
              <w:t>地下水、土壤</w:t>
            </w:r>
            <w:r>
              <w:rPr>
                <w:rFonts w:hint="eastAsia" w:ascii="Times New Roman" w:hAnsi="Times New Roman" w:eastAsia="宋体" w:cs="Times New Roman"/>
                <w:b/>
                <w:color w:val="auto"/>
                <w:kern w:val="0"/>
                <w:sz w:val="24"/>
                <w:szCs w:val="24"/>
                <w:lang w:eastAsia="zh-CN"/>
              </w:rPr>
              <w:t>环境影响分析及污染防治措施</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建设项目环境影响报告表编制技术指南（污染影响类）（试行）》，地下水原则上不开展专项评价，涉及集中式饮用水水源和热水、矿泉水、温泉等特殊地下水资源保护区的开展地下水专项评价工作。项目不涉及集中式饮用水水源和热水、矿泉水、温泉等特殊地下水资源保护区的开展地下水专项评价工作，可不开展地下水专项评价。根据《建设项目环境影响报告表编制技术指南（污染影响类）（试行）》），土壤不开展专项评价。营运期不使用地下水，对地下水的水位、水量无影响；危险废物、生活污水泄漏可能对地下水、土壤造成污染。</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）地下水、土壤污染源</w:t>
            </w:r>
          </w:p>
          <w:p>
            <w:pPr>
              <w:pStyle w:val="75"/>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根据对项目生产过程及存储方式等进行分析，本项目对地下水及土壤环境影响的污染源有：化粪池、</w:t>
            </w:r>
            <w:r>
              <w:rPr>
                <w:rFonts w:hint="eastAsia" w:ascii="Times New Roman" w:hAnsi="Times New Roman" w:cs="Times New Roman"/>
                <w:color w:val="auto"/>
                <w:sz w:val="24"/>
                <w:szCs w:val="24"/>
                <w:lang w:val="en-US" w:eastAsia="zh-CN"/>
              </w:rPr>
              <w:t>洗车池、沉淀池、</w:t>
            </w:r>
            <w:r>
              <w:rPr>
                <w:rFonts w:hint="eastAsia" w:ascii="Times New Roman" w:hAnsi="Times New Roman" w:cs="Times New Roman"/>
                <w:color w:val="auto"/>
                <w:sz w:val="24"/>
                <w:szCs w:val="24"/>
                <w:lang w:eastAsia="zh-CN"/>
              </w:rPr>
              <w:t>一般固废间及危废间，主要污染物为废水和固体废物。</w:t>
            </w:r>
          </w:p>
          <w:p>
            <w:pPr>
              <w:pStyle w:val="75"/>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）地下水、土壤污染途径本项目对地下水及土壤产生污染的途径主要是渗透污染。渗透污染是导致地下水污染的普遍和主要方式，主要产生可能性来自：</w:t>
            </w:r>
          </w:p>
          <w:p>
            <w:pPr>
              <w:pStyle w:val="75"/>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eastAsia" w:ascii="Times New Roman" w:hAnsi="Times New Roman" w:cs="Times New Roman"/>
                <w:color w:val="auto"/>
                <w:sz w:val="24"/>
                <w:szCs w:val="24"/>
                <w:lang w:val="en-US" w:eastAsia="zh-CN"/>
              </w:rPr>
              <w:t>化粪池、洗车池、沉淀池</w:t>
            </w:r>
            <w:r>
              <w:rPr>
                <w:rFonts w:hint="eastAsia" w:ascii="Times New Roman" w:hAnsi="Times New Roman" w:eastAsia="宋体" w:cs="Times New Roman"/>
                <w:color w:val="auto"/>
                <w:sz w:val="24"/>
                <w:szCs w:val="24"/>
                <w:lang w:val="en-US" w:eastAsia="zh-CN"/>
              </w:rPr>
              <w:t>在未采取防渗防漏措施的情况下，废水将从构筑物下渗入含水层而污染地下水及土壤。</w:t>
            </w:r>
          </w:p>
          <w:p>
            <w:pPr>
              <w:pStyle w:val="7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②项目产生的</w:t>
            </w:r>
            <w:r>
              <w:rPr>
                <w:rFonts w:hint="eastAsia" w:ascii="Times New Roman" w:hAnsi="Times New Roman" w:cs="Times New Roman"/>
                <w:color w:val="auto"/>
                <w:sz w:val="24"/>
                <w:szCs w:val="24"/>
                <w:lang w:val="en-US" w:eastAsia="zh-CN"/>
              </w:rPr>
              <w:t>固废</w:t>
            </w:r>
            <w:r>
              <w:rPr>
                <w:rFonts w:hint="default" w:ascii="Times New Roman" w:hAnsi="Times New Roman" w:eastAsia="宋体" w:cs="Times New Roman"/>
                <w:color w:val="auto"/>
                <w:sz w:val="24"/>
                <w:szCs w:val="24"/>
                <w:lang w:val="en-US" w:eastAsia="zh-CN"/>
              </w:rPr>
              <w:t>，在未采取防治措施的情况下，</w:t>
            </w:r>
            <w:r>
              <w:rPr>
                <w:rFonts w:hint="eastAsia" w:ascii="Times New Roman" w:hAnsi="Times New Roman" w:cs="Times New Roman"/>
                <w:color w:val="auto"/>
                <w:sz w:val="24"/>
                <w:szCs w:val="24"/>
                <w:lang w:val="en-US" w:eastAsia="zh-CN"/>
              </w:rPr>
              <w:t>因</w:t>
            </w:r>
            <w:r>
              <w:rPr>
                <w:rFonts w:hint="default" w:ascii="Times New Roman" w:hAnsi="Times New Roman" w:eastAsia="宋体" w:cs="Times New Roman"/>
                <w:color w:val="auto"/>
                <w:sz w:val="24"/>
                <w:szCs w:val="24"/>
                <w:lang w:val="en-US" w:eastAsia="zh-CN"/>
              </w:rPr>
              <w:t>雨水淋滤作用，淋滤液下渗将引起的地下水及土壤</w:t>
            </w:r>
            <w:r>
              <w:rPr>
                <w:rFonts w:hint="eastAsia" w:ascii="Times New Roman" w:hAnsi="Times New Roman" w:eastAsia="宋体" w:cs="Times New Roman"/>
                <w:color w:val="auto"/>
                <w:sz w:val="24"/>
                <w:szCs w:val="24"/>
                <w:lang w:val="en-US" w:eastAsia="zh-CN"/>
              </w:rPr>
              <w:t>污染。</w:t>
            </w:r>
          </w:p>
          <w:p>
            <w:pPr>
              <w:pStyle w:val="75"/>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（3）影响分析</w:t>
            </w:r>
          </w:p>
          <w:p>
            <w:pPr>
              <w:pStyle w:val="75"/>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①正常情况下地下水环境影响分析</w:t>
            </w:r>
          </w:p>
          <w:p>
            <w:pPr>
              <w:pStyle w:val="75"/>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本项目通过采取本评价提出的环保措施后，对</w:t>
            </w:r>
            <w:r>
              <w:rPr>
                <w:rFonts w:hint="eastAsia" w:ascii="Times New Roman" w:hAnsi="Times New Roman" w:cs="Times New Roman"/>
                <w:color w:val="auto"/>
                <w:sz w:val="24"/>
                <w:szCs w:val="24"/>
                <w:lang w:val="en-US" w:eastAsia="zh-CN"/>
              </w:rPr>
              <w:t>化粪池、洗车池、沉淀池、初期雨水池、一般固废间及危废间</w:t>
            </w:r>
            <w:r>
              <w:rPr>
                <w:rFonts w:hint="eastAsia" w:ascii="Times New Roman" w:hAnsi="Times New Roman" w:eastAsia="宋体" w:cs="Times New Roman"/>
                <w:color w:val="auto"/>
                <w:sz w:val="24"/>
                <w:szCs w:val="24"/>
                <w:lang w:val="en-US" w:eastAsia="zh-CN"/>
              </w:rPr>
              <w:t>进行防渗处理后，废水下渗量很小，在正常情况下对地下水及土壤不会造成污染。</w:t>
            </w:r>
          </w:p>
          <w:p>
            <w:pPr>
              <w:pStyle w:val="75"/>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②非正常情况下地下水环境影响分析</w:t>
            </w:r>
          </w:p>
          <w:p>
            <w:pPr>
              <w:pStyle w:val="75"/>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根据场地水文地质条件，</w:t>
            </w:r>
            <w:r>
              <w:rPr>
                <w:rFonts w:hint="eastAsia" w:ascii="Times New Roman" w:hAnsi="Times New Roman" w:cs="Times New Roman"/>
                <w:color w:val="auto"/>
                <w:sz w:val="24"/>
                <w:szCs w:val="24"/>
                <w:lang w:val="en-US" w:eastAsia="zh-CN"/>
              </w:rPr>
              <w:t>化粪池、洗车池、沉淀池、初期雨水池、一般固废间及危废间</w:t>
            </w:r>
            <w:r>
              <w:rPr>
                <w:rFonts w:hint="eastAsia" w:ascii="Times New Roman" w:hAnsi="Times New Roman" w:eastAsia="宋体" w:cs="Times New Roman"/>
                <w:color w:val="auto"/>
                <w:sz w:val="24"/>
                <w:szCs w:val="24"/>
                <w:lang w:val="en-US" w:eastAsia="zh-CN"/>
              </w:rPr>
              <w:t>若发生渗漏，废水或废液将通过地表水入渗进入地下污染地下水及土壤。</w:t>
            </w:r>
          </w:p>
          <w:p>
            <w:pPr>
              <w:pStyle w:val="75"/>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于污染物的存在，非正常状况下，将不可避免的会对项目所在区域周围，特别是下游部分区域的地下水及土壤产生一定程度的污染。因此，建设单位应积极采取有效的防渗措施，定期监控，一旦发现废液渗漏后，采取有效的应急措施，避免泄漏持续发生。</w:t>
            </w:r>
          </w:p>
          <w:p>
            <w:pPr>
              <w:pStyle w:val="620"/>
              <w:ind w:firstLine="480"/>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本项目进行氟石膏、天然石膏、石灰石粉磨生产，其一般工业固废主要为废布袋</w:t>
            </w:r>
            <w:r>
              <w:rPr>
                <w:rFonts w:hint="eastAsia" w:cs="Times New Roman"/>
                <w:color w:val="auto"/>
                <w:sz w:val="24"/>
                <w:szCs w:val="24"/>
                <w:lang w:val="en-US" w:eastAsia="zh-CN"/>
              </w:rPr>
              <w:t>、布袋粉尘</w:t>
            </w:r>
            <w:r>
              <w:rPr>
                <w:rFonts w:hint="eastAsia" w:cs="Times New Roman"/>
                <w:color w:val="auto"/>
                <w:sz w:val="24"/>
                <w:szCs w:val="24"/>
                <w:lang w:eastAsia="zh-CN"/>
              </w:rPr>
              <w:t>、废包装材料、</w:t>
            </w:r>
            <w:r>
              <w:rPr>
                <w:rFonts w:hint="eastAsia" w:cs="Times New Roman"/>
                <w:color w:val="auto"/>
                <w:sz w:val="24"/>
                <w:szCs w:val="24"/>
                <w:lang w:val="en-US" w:eastAsia="zh-CN"/>
              </w:rPr>
              <w:t>废污泥</w:t>
            </w:r>
            <w:r>
              <w:rPr>
                <w:rFonts w:hint="eastAsia" w:cs="Times New Roman"/>
                <w:color w:val="auto"/>
                <w:sz w:val="24"/>
                <w:szCs w:val="24"/>
                <w:lang w:eastAsia="zh-CN"/>
              </w:rPr>
              <w:t>及生活垃圾等一般固废。根据建设方提供资料可知，一般固废可做到日产日清，仅在生产厂房内短时间堆放，堆放场地为一般固废暂存区域，一般固废间满足三防（防扬散、防流失、防渗漏）或其他防治污染环境的要求设置，做到分类堆放，合理处置。</w:t>
            </w:r>
            <w:r>
              <w:rPr>
                <w:rFonts w:hint="eastAsia" w:cs="Times New Roman"/>
                <w:color w:val="auto"/>
                <w:sz w:val="24"/>
                <w:szCs w:val="24"/>
                <w:lang w:val="en-US" w:eastAsia="zh-CN"/>
              </w:rPr>
              <w:t>危险废物为废机油及废机油桶暂存于危废间，</w:t>
            </w:r>
            <w:r>
              <w:rPr>
                <w:rFonts w:hint="eastAsia" w:cs="Times New Roman"/>
                <w:color w:val="auto"/>
                <w:sz w:val="24"/>
                <w:szCs w:val="24"/>
                <w:lang w:eastAsia="zh-CN"/>
              </w:rPr>
              <w:t>危废间贮存设施满足《危险废物贮存污染控制标准》（</w:t>
            </w:r>
            <w:r>
              <w:rPr>
                <w:rFonts w:hint="eastAsia" w:cs="Times New Roman"/>
                <w:color w:val="auto"/>
                <w:sz w:val="24"/>
                <w:szCs w:val="24"/>
                <w:lang w:val="en-US" w:eastAsia="zh-CN"/>
              </w:rPr>
              <w:t>GB18597-2023</w:t>
            </w:r>
            <w:r>
              <w:rPr>
                <w:rFonts w:hint="eastAsia" w:cs="Times New Roman"/>
                <w:color w:val="auto"/>
                <w:sz w:val="24"/>
                <w:szCs w:val="24"/>
                <w:lang w:eastAsia="zh-CN"/>
              </w:rPr>
              <w:t>）的要求，贮存场所要进行防风、防雨、防渗处理，避免危险废液渗入地下造成污染</w:t>
            </w:r>
            <w:r>
              <w:rPr>
                <w:rFonts w:hint="eastAsia" w:cs="Times New Roman"/>
                <w:color w:val="auto"/>
                <w:sz w:val="24"/>
                <w:szCs w:val="24"/>
                <w:lang w:val="en-US" w:eastAsia="zh-CN"/>
              </w:rPr>
              <w:t>。</w:t>
            </w:r>
            <w:r>
              <w:rPr>
                <w:rFonts w:hint="eastAsia" w:cs="Times New Roman"/>
                <w:color w:val="auto"/>
                <w:sz w:val="24"/>
                <w:szCs w:val="24"/>
                <w:lang w:eastAsia="zh-CN"/>
              </w:rPr>
              <w:t>厂区除一般防渗区外其他区域均进行水泥地面硬低化，对地下水、土壤环境影响较小。同时，项目建成运营期间不涉及污染地下水外排，项目用水不取用地下水。因此，在厂区做好相关防范措施的前提下，本项目建成后对周边土壤、地下水的影响较小。</w:t>
            </w:r>
          </w:p>
          <w:p>
            <w:pPr>
              <w:adjustRightInd w:val="0"/>
              <w:snapToGrid w:val="0"/>
              <w:spacing w:line="360" w:lineRule="auto"/>
              <w:ind w:firstLine="482" w:firstLineChars="200"/>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环境风险</w:t>
            </w:r>
          </w:p>
          <w:p>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（1）风险调查</w:t>
            </w:r>
          </w:p>
          <w:p>
            <w:pPr>
              <w:spacing w:line="360" w:lineRule="auto"/>
              <w:ind w:firstLine="496" w:firstLineChars="200"/>
              <w:rPr>
                <w:rFonts w:hint="default" w:ascii="Times New Roman" w:hAnsi="Times New Roman" w:eastAsia="宋体" w:cs="Times New Roman"/>
                <w:color w:val="auto"/>
                <w:spacing w:val="4"/>
                <w:kern w:val="0"/>
                <w:sz w:val="24"/>
                <w:highlight w:val="none"/>
                <w:lang w:eastAsia="zh-CN"/>
              </w:rPr>
            </w:pPr>
            <w:r>
              <w:rPr>
                <w:rFonts w:hint="default" w:ascii="Times New Roman" w:hAnsi="Times New Roman" w:eastAsia="宋体" w:cs="Times New Roman"/>
                <w:color w:val="auto"/>
                <w:spacing w:val="4"/>
                <w:kern w:val="0"/>
                <w:sz w:val="24"/>
                <w:highlight w:val="none"/>
              </w:rPr>
              <w:t>根据建设单位提供资料，对照《建设项目环境风险评价技术导则》（HJ169—2018）附录B，本项目</w:t>
            </w:r>
            <w:r>
              <w:rPr>
                <w:rFonts w:hint="default" w:ascii="Times New Roman" w:hAnsi="Times New Roman" w:eastAsia="宋体" w:cs="Times New Roman"/>
                <w:color w:val="auto"/>
                <w:spacing w:val="4"/>
                <w:kern w:val="0"/>
                <w:sz w:val="24"/>
                <w:highlight w:val="none"/>
                <w:lang w:eastAsia="zh-CN"/>
              </w:rPr>
              <w:t>原</w:t>
            </w:r>
            <w:r>
              <w:rPr>
                <w:rFonts w:hint="eastAsia" w:ascii="Times New Roman" w:hAnsi="Times New Roman" w:eastAsia="宋体" w:cs="Times New Roman"/>
                <w:color w:val="auto"/>
                <w:spacing w:val="4"/>
                <w:kern w:val="0"/>
                <w:sz w:val="24"/>
                <w:highlight w:val="none"/>
                <w:lang w:eastAsia="zh-CN"/>
              </w:rPr>
              <w:t>、</w:t>
            </w:r>
            <w:r>
              <w:rPr>
                <w:rFonts w:hint="default" w:ascii="Times New Roman" w:hAnsi="Times New Roman" w:eastAsia="宋体" w:cs="Times New Roman"/>
                <w:color w:val="auto"/>
                <w:spacing w:val="4"/>
                <w:kern w:val="0"/>
                <w:sz w:val="24"/>
                <w:highlight w:val="none"/>
                <w:lang w:eastAsia="zh-CN"/>
              </w:rPr>
              <w:t>辅材料</w:t>
            </w:r>
            <w:r>
              <w:rPr>
                <w:rFonts w:hint="eastAsia" w:ascii="Times New Roman" w:hAnsi="Times New Roman" w:eastAsia="宋体" w:cs="Times New Roman"/>
                <w:color w:val="auto"/>
                <w:spacing w:val="4"/>
                <w:kern w:val="0"/>
                <w:sz w:val="24"/>
                <w:highlight w:val="none"/>
                <w:lang w:eastAsia="zh-CN"/>
              </w:rPr>
              <w:t>中不涉及风险物质，但设备定期维护过程中，厂区内会产生危险废物废机油</w:t>
            </w:r>
            <w:r>
              <w:rPr>
                <w:rFonts w:hint="default" w:ascii="Times New Roman" w:hAnsi="Times New Roman" w:eastAsia="宋体" w:cs="Times New Roman"/>
                <w:color w:val="auto"/>
                <w:spacing w:val="4"/>
                <w:kern w:val="0"/>
                <w:sz w:val="24"/>
                <w:highlight w:val="none"/>
                <w:lang w:eastAsia="zh-CN"/>
              </w:rPr>
              <w:t>。</w:t>
            </w:r>
          </w:p>
          <w:p>
            <w:pPr>
              <w:pStyle w:val="599"/>
              <w:ind w:firstLine="480"/>
              <w:rPr>
                <w:rFonts w:hint="eastAsia" w:cs="Times New Roman"/>
                <w:color w:val="000000" w:themeColor="text1"/>
                <w:kern w:val="0"/>
                <w:szCs w:val="20"/>
                <w:highlight w:val="none"/>
                <w14:textFill>
                  <w14:solidFill>
                    <w14:schemeClr w14:val="tx1"/>
                  </w14:solidFill>
                </w14:textFill>
              </w:rPr>
            </w:pPr>
            <w:r>
              <w:rPr>
                <w:rFonts w:hint="eastAsia" w:cs="Times New Roman"/>
                <w:color w:val="000000" w:themeColor="text1"/>
                <w:kern w:val="0"/>
                <w:szCs w:val="20"/>
                <w:highlight w:val="none"/>
                <w:lang w:eastAsia="zh-CN"/>
                <w14:textFill>
                  <w14:solidFill>
                    <w14:schemeClr w14:val="tx1"/>
                  </w14:solidFill>
                </w14:textFill>
              </w:rPr>
              <w:t>故，</w:t>
            </w:r>
            <w:r>
              <w:rPr>
                <w:rFonts w:hint="eastAsia" w:cs="Times New Roman"/>
                <w:color w:val="000000" w:themeColor="text1"/>
                <w:kern w:val="0"/>
                <w:szCs w:val="20"/>
                <w:highlight w:val="none"/>
                <w14:textFill>
                  <w14:solidFill>
                    <w14:schemeClr w14:val="tx1"/>
                  </w14:solidFill>
                </w14:textFill>
              </w:rPr>
              <w:t>根据《建设项目环境风险评价技术导则》（HJ169-2018）及前文危险物质调查结果中各类危险物质在厂界内的最大存在总量，计算危险物质数量与临界量比值（Q）：</w:t>
            </w:r>
          </w:p>
          <w:p>
            <w:pPr>
              <w:pStyle w:val="599"/>
              <w:ind w:firstLine="480"/>
              <w:rPr>
                <w:rFonts w:hint="eastAsia" w:cs="Times New Roman"/>
                <w:color w:val="000000" w:themeColor="text1"/>
                <w:kern w:val="0"/>
                <w:szCs w:val="20"/>
                <w:highlight w:val="none"/>
                <w14:textFill>
                  <w14:solidFill>
                    <w14:schemeClr w14:val="tx1"/>
                  </w14:solidFill>
                </w14:textFill>
              </w:rPr>
            </w:pPr>
            <w:r>
              <w:rPr>
                <w:rFonts w:hint="eastAsia" w:cs="Times New Roman"/>
                <w:color w:val="000000" w:themeColor="text1"/>
                <w:kern w:val="0"/>
                <w:szCs w:val="20"/>
                <w:highlight w:val="none"/>
                <w14:textFill>
                  <w14:solidFill>
                    <w14:schemeClr w14:val="tx1"/>
                  </w14:solidFill>
                </w14:textFill>
              </w:rPr>
              <w:t>当只涉及一种危险物质时，计算该物质的总量与其临界量比值，即为Q；</w:t>
            </w:r>
          </w:p>
          <w:p>
            <w:pPr>
              <w:pStyle w:val="599"/>
              <w:ind w:firstLine="480"/>
              <w:rPr>
                <w:color w:val="000000" w:themeColor="text1"/>
                <w:highlight w:val="none"/>
                <w14:textFill>
                  <w14:solidFill>
                    <w14:schemeClr w14:val="tx1"/>
                  </w14:solidFill>
                </w14:textFill>
              </w:rPr>
            </w:pPr>
            <w:r>
              <w:rPr>
                <w:rFonts w:hint="eastAsia" w:cs="Times New Roman"/>
                <w:color w:val="000000" w:themeColor="text1"/>
                <w:kern w:val="0"/>
                <w:szCs w:val="20"/>
                <w:highlight w:val="none"/>
                <w14:textFill>
                  <w14:solidFill>
                    <w14:schemeClr w14:val="tx1"/>
                  </w14:solidFill>
                </w14:textFill>
              </w:rPr>
              <w:t>当存在多种危险物质时，则按下式计算物质总量与其临界量比值Q：</w:t>
            </w:r>
          </w:p>
          <w:p>
            <w:pPr>
              <w:adjustRightInd w:val="0"/>
              <w:snapToGrid w:val="0"/>
              <w:spacing w:line="360" w:lineRule="auto"/>
              <w:ind w:firstLine="420" w:firstLineChars="200"/>
              <w:jc w:val="center"/>
              <w:rPr>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622425" cy="490855"/>
                  <wp:effectExtent l="0" t="0" r="15875" b="444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4"/>
                          <a:stretch>
                            <a:fillRect/>
                          </a:stretch>
                        </pic:blipFill>
                        <pic:spPr>
                          <a:xfrm>
                            <a:off x="0" y="0"/>
                            <a:ext cx="1622425" cy="490855"/>
                          </a:xfrm>
                          <a:prstGeom prst="rect">
                            <a:avLst/>
                          </a:prstGeom>
                          <a:noFill/>
                          <a:ln>
                            <a:noFill/>
                          </a:ln>
                        </pic:spPr>
                      </pic:pic>
                    </a:graphicData>
                  </a:graphic>
                </wp:inline>
              </w:drawing>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式中：q</w:t>
            </w:r>
            <w:r>
              <w:rPr>
                <w:color w:val="000000" w:themeColor="text1"/>
                <w:sz w:val="24"/>
                <w:highlight w:val="none"/>
                <w:vertAlign w:val="subscript"/>
                <w14:textFill>
                  <w14:solidFill>
                    <w14:schemeClr w14:val="tx1"/>
                  </w14:solidFill>
                </w14:textFill>
              </w:rPr>
              <w:t>1</w:t>
            </w:r>
            <w:r>
              <w:rPr>
                <w:color w:val="000000" w:themeColor="text1"/>
                <w:sz w:val="24"/>
                <w:highlight w:val="none"/>
                <w14:textFill>
                  <w14:solidFill>
                    <w14:schemeClr w14:val="tx1"/>
                  </w14:solidFill>
                </w14:textFill>
              </w:rPr>
              <w:t>，q</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……qn——</w:t>
            </w:r>
            <w:r>
              <w:rPr>
                <w:color w:val="000000" w:themeColor="text1"/>
                <w:spacing w:val="4"/>
                <w:kern w:val="18"/>
                <w:sz w:val="24"/>
                <w:highlight w:val="none"/>
                <w14:textFill>
                  <w14:solidFill>
                    <w14:schemeClr w14:val="tx1"/>
                  </w14:solidFill>
                </w14:textFill>
              </w:rPr>
              <w:t>每种危险物质实际存在量，t；</w:t>
            </w:r>
          </w:p>
          <w:p>
            <w:pPr>
              <w:adjustRightInd w:val="0"/>
              <w:snapToGrid w:val="0"/>
              <w:spacing w:line="360" w:lineRule="auto"/>
              <w:ind w:firstLine="1200" w:firstLineChars="500"/>
              <w:rPr>
                <w:color w:val="000000" w:themeColor="text1"/>
                <w:sz w:val="24"/>
                <w:szCs w:val="20"/>
                <w:highlight w:val="none"/>
                <w14:textFill>
                  <w14:solidFill>
                    <w14:schemeClr w14:val="tx1"/>
                  </w14:solidFill>
                </w14:textFill>
              </w:rPr>
            </w:pPr>
            <w:r>
              <w:rPr>
                <w:color w:val="000000" w:themeColor="text1"/>
                <w:sz w:val="24"/>
                <w:highlight w:val="none"/>
                <w14:textFill>
                  <w14:solidFill>
                    <w14:schemeClr w14:val="tx1"/>
                  </w14:solidFill>
                </w14:textFill>
              </w:rPr>
              <w:t>Q</w:t>
            </w:r>
            <w:r>
              <w:rPr>
                <w:color w:val="000000" w:themeColor="text1"/>
                <w:sz w:val="24"/>
                <w:highlight w:val="none"/>
                <w:vertAlign w:val="subscript"/>
                <w14:textFill>
                  <w14:solidFill>
                    <w14:schemeClr w14:val="tx1"/>
                  </w14:solidFill>
                </w14:textFill>
              </w:rPr>
              <w:t>1</w:t>
            </w:r>
            <w:r>
              <w:rPr>
                <w:color w:val="000000" w:themeColor="text1"/>
                <w:sz w:val="24"/>
                <w:highlight w:val="none"/>
                <w14:textFill>
                  <w14:solidFill>
                    <w14:schemeClr w14:val="tx1"/>
                  </w14:solidFill>
                </w14:textFill>
              </w:rPr>
              <w:t>，Q</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…Qn——</w:t>
            </w:r>
            <w:r>
              <w:rPr>
                <w:color w:val="000000" w:themeColor="text1"/>
                <w:spacing w:val="4"/>
                <w:kern w:val="18"/>
                <w:sz w:val="24"/>
                <w:highlight w:val="none"/>
                <w14:textFill>
                  <w14:solidFill>
                    <w14:schemeClr w14:val="tx1"/>
                  </w14:solidFill>
                </w14:textFill>
              </w:rPr>
              <w:t>与各危险物质相对应的生产场所或贮存区的临界量，t。</w:t>
            </w:r>
          </w:p>
          <w:p>
            <w:pPr>
              <w:spacing w:line="360" w:lineRule="auto"/>
              <w:ind w:firstLine="480" w:firstLineChars="200"/>
              <w:jc w:val="left"/>
              <w:rPr>
                <w:color w:val="000000" w:themeColor="text1"/>
                <w:spacing w:val="4"/>
                <w:kern w:val="18"/>
                <w:sz w:val="24"/>
                <w:highlight w:val="none"/>
                <w14:textFill>
                  <w14:solidFill>
                    <w14:schemeClr w14:val="tx1"/>
                  </w14:solidFill>
                </w14:textFill>
              </w:rPr>
            </w:pPr>
            <w:r>
              <w:rPr>
                <w:rFonts w:hint="eastAsia"/>
                <w:color w:val="000000" w:themeColor="text1"/>
                <w:sz w:val="24"/>
                <w:szCs w:val="20"/>
                <w:highlight w:val="none"/>
                <w14:textFill>
                  <w14:solidFill>
                    <w14:schemeClr w14:val="tx1"/>
                  </w14:solidFill>
                </w14:textFill>
              </w:rPr>
              <w:t>项目Q值计算见下表</w:t>
            </w:r>
            <w:r>
              <w:rPr>
                <w:color w:val="000000" w:themeColor="text1"/>
                <w:sz w:val="24"/>
                <w:szCs w:val="20"/>
                <w:highlight w:val="none"/>
                <w14:textFill>
                  <w14:solidFill>
                    <w14:schemeClr w14:val="tx1"/>
                  </w14:solidFill>
                </w14:textFill>
              </w:rPr>
              <w:t>。</w:t>
            </w:r>
          </w:p>
          <w:p>
            <w:pPr>
              <w:pStyle w:val="620"/>
              <w:ind w:firstLine="48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表4-15 建设项目Q值计算表</w:t>
            </w:r>
          </w:p>
          <w:tbl>
            <w:tblPr>
              <w:tblStyle w:val="58"/>
              <w:tblW w:w="11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2316"/>
              <w:gridCol w:w="1967"/>
              <w:gridCol w:w="1968"/>
              <w:gridCol w:w="1968"/>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tcPr>
                <w:p>
                  <w:pPr>
                    <w:pStyle w:val="606"/>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序号</w:t>
                  </w:r>
                </w:p>
              </w:tc>
              <w:tc>
                <w:tcPr>
                  <w:tcW w:w="2316" w:type="dxa"/>
                </w:tcPr>
                <w:p>
                  <w:pPr>
                    <w:pStyle w:val="606"/>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危险物质名称</w:t>
                  </w:r>
                </w:p>
              </w:tc>
              <w:tc>
                <w:tcPr>
                  <w:tcW w:w="1967" w:type="dxa"/>
                </w:tcPr>
                <w:p>
                  <w:pPr>
                    <w:pStyle w:val="606"/>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CAS号</w:t>
                  </w:r>
                </w:p>
              </w:tc>
              <w:tc>
                <w:tcPr>
                  <w:tcW w:w="1968" w:type="dxa"/>
                  <w:vAlign w:val="center"/>
                </w:tcPr>
                <w:p>
                  <w:pPr>
                    <w:pStyle w:val="606"/>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rPr>
                    <w:t>最大存在总量 qn/t</w:t>
                  </w:r>
                </w:p>
              </w:tc>
              <w:tc>
                <w:tcPr>
                  <w:tcW w:w="1968" w:type="dxa"/>
                  <w:vAlign w:val="center"/>
                </w:tcPr>
                <w:p>
                  <w:pPr>
                    <w:pStyle w:val="606"/>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rPr>
                    <w:t>临界量Qn/t</w:t>
                  </w:r>
                </w:p>
              </w:tc>
              <w:tc>
                <w:tcPr>
                  <w:tcW w:w="1968" w:type="dxa"/>
                  <w:vAlign w:val="center"/>
                </w:tcPr>
                <w:p>
                  <w:pPr>
                    <w:pStyle w:val="606"/>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center"/>
                </w:tcPr>
                <w:p>
                  <w:pPr>
                    <w:pStyle w:val="606"/>
                    <w:rPr>
                      <w:rFonts w:hint="default" w:ascii="Times New Roman" w:hAnsi="Times New Roman" w:cs="Times New Roman"/>
                      <w:color w:val="FF0000"/>
                      <w:szCs w:val="24"/>
                      <w:highlight w:val="none"/>
                      <w:vertAlign w:val="baseline"/>
                      <w:lang w:val="en-US" w:eastAsia="zh-CN"/>
                    </w:rPr>
                  </w:pPr>
                  <w:r>
                    <w:rPr>
                      <w:rFonts w:hint="eastAsia"/>
                      <w:color w:val="FF0000"/>
                      <w:highlight w:val="none"/>
                    </w:rPr>
                    <w:t>1</w:t>
                  </w:r>
                </w:p>
              </w:tc>
              <w:tc>
                <w:tcPr>
                  <w:tcW w:w="2316" w:type="dxa"/>
                  <w:vAlign w:val="center"/>
                </w:tcPr>
                <w:p>
                  <w:pPr>
                    <w:pStyle w:val="606"/>
                    <w:rPr>
                      <w:rFonts w:hint="default" w:ascii="Times New Roman" w:hAnsi="Times New Roman" w:cs="Times New Roman"/>
                      <w:color w:val="FF0000"/>
                      <w:szCs w:val="24"/>
                      <w:highlight w:val="none"/>
                      <w:vertAlign w:val="baseline"/>
                      <w:lang w:val="en-US" w:eastAsia="zh-CN"/>
                    </w:rPr>
                  </w:pPr>
                  <w:r>
                    <w:rPr>
                      <w:rFonts w:hint="eastAsia" w:cs="Times New Roman"/>
                      <w:color w:val="FF0000"/>
                      <w:kern w:val="0"/>
                      <w:szCs w:val="20"/>
                      <w:highlight w:val="none"/>
                      <w:lang w:val="en-US" w:eastAsia="zh-CN"/>
                    </w:rPr>
                    <w:t>废机油（含废润滑油）</w:t>
                  </w:r>
                </w:p>
              </w:tc>
              <w:tc>
                <w:tcPr>
                  <w:tcW w:w="1967" w:type="dxa"/>
                  <w:vAlign w:val="center"/>
                </w:tcPr>
                <w:p>
                  <w:pPr>
                    <w:pStyle w:val="606"/>
                    <w:rPr>
                      <w:rFonts w:hint="default" w:ascii="Times New Roman" w:hAnsi="Times New Roman" w:cs="Times New Roman"/>
                      <w:color w:val="FF0000"/>
                      <w:szCs w:val="24"/>
                      <w:highlight w:val="none"/>
                      <w:vertAlign w:val="baseline"/>
                      <w:lang w:val="en-US" w:eastAsia="zh-CN"/>
                    </w:rPr>
                  </w:pPr>
                  <w:r>
                    <w:rPr>
                      <w:rFonts w:hint="eastAsia"/>
                      <w:color w:val="FF0000"/>
                      <w:highlight w:val="none"/>
                      <w:lang w:val="en-US" w:eastAsia="zh-CN"/>
                    </w:rPr>
                    <w:t>/</w:t>
                  </w:r>
                </w:p>
              </w:tc>
              <w:tc>
                <w:tcPr>
                  <w:tcW w:w="1968" w:type="dxa"/>
                  <w:vAlign w:val="center"/>
                </w:tcPr>
                <w:p>
                  <w:pPr>
                    <w:pStyle w:val="606"/>
                    <w:rPr>
                      <w:rFonts w:hint="default" w:ascii="Times New Roman" w:hAnsi="Times New Roman" w:cs="Times New Roman"/>
                      <w:color w:val="FF0000"/>
                      <w:szCs w:val="24"/>
                      <w:highlight w:val="none"/>
                      <w:vertAlign w:val="baseline"/>
                      <w:lang w:val="en-US" w:eastAsia="zh-CN"/>
                    </w:rPr>
                  </w:pPr>
                  <w:r>
                    <w:rPr>
                      <w:rFonts w:hint="eastAsia"/>
                      <w:color w:val="FF0000"/>
                      <w:highlight w:val="none"/>
                      <w:lang w:val="en-US" w:eastAsia="zh-CN"/>
                    </w:rPr>
                    <w:t>0.1</w:t>
                  </w:r>
                </w:p>
              </w:tc>
              <w:tc>
                <w:tcPr>
                  <w:tcW w:w="1968" w:type="dxa"/>
                  <w:vAlign w:val="center"/>
                </w:tcPr>
                <w:p>
                  <w:pPr>
                    <w:pStyle w:val="606"/>
                    <w:rPr>
                      <w:rFonts w:hint="default" w:ascii="Times New Roman" w:hAnsi="Times New Roman" w:cs="Times New Roman"/>
                      <w:color w:val="FF0000"/>
                      <w:szCs w:val="24"/>
                      <w:highlight w:val="none"/>
                      <w:vertAlign w:val="baseline"/>
                      <w:lang w:val="en-US" w:eastAsia="zh-CN"/>
                    </w:rPr>
                  </w:pPr>
                  <w:r>
                    <w:rPr>
                      <w:rFonts w:hint="eastAsia"/>
                      <w:color w:val="FF0000"/>
                      <w:highlight w:val="none"/>
                      <w:lang w:val="en-US" w:eastAsia="zh-CN"/>
                    </w:rPr>
                    <w:t>2500</w:t>
                  </w:r>
                </w:p>
              </w:tc>
              <w:tc>
                <w:tcPr>
                  <w:tcW w:w="1968" w:type="dxa"/>
                  <w:vAlign w:val="center"/>
                </w:tcPr>
                <w:p>
                  <w:pPr>
                    <w:pStyle w:val="606"/>
                    <w:rPr>
                      <w:rFonts w:hint="default" w:ascii="Times New Roman" w:hAnsi="Times New Roman" w:cs="Times New Roman"/>
                      <w:color w:val="FF0000"/>
                      <w:szCs w:val="24"/>
                      <w:highlight w:val="none"/>
                      <w:vertAlign w:val="baseline"/>
                      <w:lang w:val="en-US" w:eastAsia="zh-CN"/>
                    </w:rPr>
                  </w:pPr>
                  <w:r>
                    <w:rPr>
                      <w:rFonts w:hint="eastAsia"/>
                      <w:color w:val="FF0000"/>
                      <w:highlight w:val="none"/>
                      <w:lang w:val="en-US" w:eastAsia="zh-CN"/>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7" w:type="dxa"/>
                  <w:gridSpan w:val="5"/>
                  <w:vAlign w:val="center"/>
                </w:tcPr>
                <w:p>
                  <w:pPr>
                    <w:pStyle w:val="606"/>
                    <w:rPr>
                      <w:rFonts w:hint="default" w:ascii="Times New Roman" w:hAnsi="Times New Roman" w:cs="Times New Roman"/>
                      <w:color w:val="FF0000"/>
                      <w:szCs w:val="24"/>
                      <w:highlight w:val="none"/>
                      <w:vertAlign w:val="baseline"/>
                      <w:lang w:val="en-US" w:eastAsia="zh-CN"/>
                    </w:rPr>
                  </w:pPr>
                  <w:r>
                    <w:rPr>
                      <w:rFonts w:hint="eastAsia"/>
                      <w:color w:val="FF0000"/>
                      <w:highlight w:val="none"/>
                    </w:rPr>
                    <w:t>项目Q值总计</w:t>
                  </w:r>
                </w:p>
              </w:tc>
              <w:tc>
                <w:tcPr>
                  <w:tcW w:w="1968" w:type="dxa"/>
                  <w:vAlign w:val="center"/>
                </w:tcPr>
                <w:p>
                  <w:pPr>
                    <w:pStyle w:val="606"/>
                    <w:rPr>
                      <w:rFonts w:hint="default" w:ascii="Times New Roman" w:hAnsi="Times New Roman" w:cs="Times New Roman"/>
                      <w:color w:val="FF0000"/>
                      <w:szCs w:val="24"/>
                      <w:highlight w:val="none"/>
                      <w:vertAlign w:val="baseline"/>
                      <w:lang w:val="en-US" w:eastAsia="zh-CN"/>
                    </w:rPr>
                  </w:pPr>
                  <w:r>
                    <w:rPr>
                      <w:rFonts w:hint="eastAsia"/>
                      <w:color w:val="FF0000"/>
                      <w:highlight w:val="none"/>
                      <w:lang w:val="en-US" w:eastAsia="zh-CN"/>
                    </w:rPr>
                    <w:t>0.00004</w:t>
                  </w:r>
                </w:p>
              </w:tc>
            </w:tr>
          </w:tbl>
          <w:p>
            <w:pPr>
              <w:pStyle w:val="182"/>
              <w:ind w:firstLine="480" w:firstLineChars="200"/>
              <w:rPr>
                <w:rFonts w:hint="default" w:ascii="Times New Roman" w:hAnsi="Times New Roman" w:eastAsia="宋体" w:cs="Times New Roman"/>
                <w:color w:val="auto"/>
                <w:szCs w:val="24"/>
                <w:highlight w:val="none"/>
                <w:lang w:val="en-US" w:eastAsia="zh-CN"/>
              </w:rPr>
            </w:pPr>
            <w:r>
              <w:rPr>
                <w:color w:val="000000" w:themeColor="text1"/>
                <w:highlight w:val="none"/>
                <w14:textFill>
                  <w14:solidFill>
                    <w14:schemeClr w14:val="tx1"/>
                  </w14:solidFill>
                </w14:textFill>
              </w:rPr>
              <w:t>经计算，本项目Q＜1</w:t>
            </w:r>
            <w:r>
              <w:rPr>
                <w:rFonts w:hint="eastAsia"/>
                <w:color w:val="000000" w:themeColor="text1"/>
                <w:highlight w:val="none"/>
                <w14:textFill>
                  <w14:solidFill>
                    <w14:schemeClr w14:val="tx1"/>
                  </w14:solidFill>
                </w14:textFill>
              </w:rPr>
              <w:t>。</w:t>
            </w:r>
            <w:r>
              <w:rPr>
                <w:rFonts w:hint="eastAsia" w:ascii="宋体" w:hAnsi="宋体"/>
                <w:color w:val="000000" w:themeColor="text1"/>
                <w:szCs w:val="24"/>
                <w:highlight w:val="none"/>
                <w14:textFill>
                  <w14:solidFill>
                    <w14:schemeClr w14:val="tx1"/>
                  </w14:solidFill>
                </w14:textFill>
              </w:rPr>
              <w:t>因此，本项目环境风险潜势划分为</w:t>
            </w:r>
            <w:r>
              <w:rPr>
                <w:rFonts w:hint="eastAsia" w:ascii="TimesNewRomanPSMT" w:hAnsi="TimesNewRomanPSMT" w:eastAsia="TimesNewRomanPSMT"/>
                <w:color w:val="000000" w:themeColor="text1"/>
                <w:szCs w:val="24"/>
                <w:highlight w:val="none"/>
                <w14:textFill>
                  <w14:solidFill>
                    <w14:schemeClr w14:val="tx1"/>
                  </w14:solidFill>
                </w14:textFill>
              </w:rPr>
              <w:t>Ⅰ</w:t>
            </w:r>
            <w:r>
              <w:rPr>
                <w:rFonts w:hint="eastAsia" w:ascii="宋体" w:hAnsi="宋体"/>
                <w:color w:val="000000" w:themeColor="text1"/>
                <w:szCs w:val="24"/>
                <w:highlight w:val="none"/>
                <w14:textFill>
                  <w14:solidFill>
                    <w14:schemeClr w14:val="tx1"/>
                  </w14:solidFill>
                </w14:textFill>
              </w:rPr>
              <w:t>级，环境风险评价等级为简单分析。</w:t>
            </w:r>
          </w:p>
          <w:p>
            <w:pPr>
              <w:pStyle w:val="182"/>
              <w:numPr>
                <w:ilvl w:val="0"/>
                <w:numId w:val="0"/>
              </w:numPr>
              <w:ind w:firstLine="480" w:firstLineChars="200"/>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（2）环境风险识别</w:t>
            </w:r>
            <w:r>
              <w:rPr>
                <w:rFonts w:hint="eastAsia" w:ascii="Times New Roman" w:hAnsi="Times New Roman" w:cs="Times New Roman"/>
                <w:color w:val="auto"/>
                <w:szCs w:val="24"/>
                <w:highlight w:val="none"/>
                <w:lang w:val="en-US" w:eastAsia="zh-CN"/>
              </w:rPr>
              <w:t>及分析</w:t>
            </w:r>
          </w:p>
          <w:p>
            <w:pPr>
              <w:spacing w:line="360" w:lineRule="auto"/>
              <w:ind w:firstLine="496" w:firstLineChars="200"/>
              <w:rPr>
                <w:rFonts w:hint="eastAsia" w:ascii="Times New Roman" w:hAnsi="Times New Roman" w:eastAsia="宋体" w:cs="Times New Roman"/>
                <w:color w:val="auto"/>
                <w:spacing w:val="4"/>
                <w:kern w:val="0"/>
                <w:sz w:val="24"/>
                <w:highlight w:val="none"/>
                <w:lang w:val="en-US" w:eastAsia="zh-CN"/>
              </w:rPr>
            </w:pPr>
            <w:r>
              <w:rPr>
                <w:rFonts w:hint="eastAsia" w:ascii="Times New Roman" w:hAnsi="Times New Roman" w:eastAsia="宋体" w:cs="Times New Roman"/>
                <w:color w:val="auto"/>
                <w:spacing w:val="4"/>
                <w:kern w:val="0"/>
                <w:sz w:val="24"/>
                <w:highlight w:val="none"/>
                <w:lang w:val="en-US" w:eastAsia="zh-CN"/>
              </w:rPr>
              <w:t>项目风险是石灰粉、石膏粉的贮存设施破裂，雨水进入贮存设施，导致碱性废水外排及沉</w:t>
            </w:r>
            <w:bookmarkStart w:id="16" w:name="_GoBack"/>
            <w:bookmarkEnd w:id="16"/>
            <w:r>
              <w:rPr>
                <w:rFonts w:hint="eastAsia" w:ascii="Times New Roman" w:hAnsi="Times New Roman" w:eastAsia="宋体" w:cs="Times New Roman"/>
                <w:color w:val="auto"/>
                <w:spacing w:val="4"/>
                <w:kern w:val="0"/>
                <w:sz w:val="24"/>
                <w:highlight w:val="none"/>
                <w:lang w:val="en-US" w:eastAsia="zh-CN"/>
              </w:rPr>
              <w:t>淀池池壁破裂，导致废水未经处理后直接回用，造成厂区地下水及土壤环境污染。因此，本环评将其作为评价重点，并提出事故防范措施。</w:t>
            </w:r>
          </w:p>
          <w:p>
            <w:pPr>
              <w:spacing w:line="360" w:lineRule="auto"/>
              <w:ind w:firstLine="496" w:firstLineChars="200"/>
              <w:rPr>
                <w:rFonts w:hint="default" w:ascii="Times New Roman" w:hAnsi="Times New Roman" w:eastAsia="宋体" w:cs="Times New Roman"/>
                <w:color w:val="auto"/>
                <w:spacing w:val="4"/>
                <w:kern w:val="0"/>
                <w:sz w:val="24"/>
                <w:highlight w:val="none"/>
                <w:lang w:eastAsia="zh-CN"/>
              </w:rPr>
            </w:pPr>
            <w:r>
              <w:rPr>
                <w:rFonts w:hint="default" w:ascii="Times New Roman" w:hAnsi="Times New Roman" w:eastAsia="宋体" w:cs="Times New Roman"/>
                <w:color w:val="auto"/>
                <w:spacing w:val="4"/>
                <w:kern w:val="0"/>
                <w:sz w:val="24"/>
                <w:highlight w:val="none"/>
                <w:lang w:eastAsia="zh-CN"/>
              </w:rPr>
              <w:t>（</w:t>
            </w:r>
            <w:r>
              <w:rPr>
                <w:rFonts w:hint="eastAsia" w:ascii="Times New Roman" w:hAnsi="Times New Roman" w:eastAsia="宋体" w:cs="Times New Roman"/>
                <w:color w:val="auto"/>
                <w:spacing w:val="4"/>
                <w:kern w:val="0"/>
                <w:sz w:val="24"/>
                <w:highlight w:val="none"/>
                <w:lang w:val="en-US" w:eastAsia="zh-CN"/>
              </w:rPr>
              <w:t>3</w:t>
            </w:r>
            <w:r>
              <w:rPr>
                <w:rFonts w:hint="default" w:ascii="Times New Roman" w:hAnsi="Times New Roman" w:eastAsia="宋体" w:cs="Times New Roman"/>
                <w:color w:val="auto"/>
                <w:spacing w:val="4"/>
                <w:kern w:val="0"/>
                <w:sz w:val="24"/>
                <w:highlight w:val="none"/>
                <w:lang w:eastAsia="zh-CN"/>
              </w:rPr>
              <w:t>）风险防范措施要求</w:t>
            </w:r>
          </w:p>
          <w:p>
            <w:pPr>
              <w:spacing w:line="360" w:lineRule="auto"/>
              <w:ind w:firstLine="496" w:firstLineChars="200"/>
              <w:rPr>
                <w:rFonts w:hint="eastAsia" w:ascii="Times New Roman" w:hAnsi="Times New Roman" w:eastAsia="宋体" w:cs="Times New Roman"/>
                <w:color w:val="auto"/>
                <w:spacing w:val="4"/>
                <w:kern w:val="0"/>
                <w:sz w:val="24"/>
                <w:highlight w:val="none"/>
                <w:lang w:val="en-US" w:eastAsia="zh-CN"/>
              </w:rPr>
            </w:pPr>
            <w:r>
              <w:rPr>
                <w:rFonts w:hint="eastAsia" w:ascii="Times New Roman" w:hAnsi="Times New Roman" w:eastAsia="宋体" w:cs="Times New Roman"/>
                <w:color w:val="auto"/>
                <w:spacing w:val="4"/>
                <w:kern w:val="0"/>
                <w:sz w:val="24"/>
                <w:highlight w:val="none"/>
                <w:lang w:val="en-US" w:eastAsia="zh-CN"/>
              </w:rPr>
              <w:t>①为把风险事故的发生和影响降到最低限度，针对项目的生产特点，特别应注意以下几点：加强职工安全环保教育，增强操作工人的责任心，防止和减少因人为因素造成的事故，同时也要加强防火安全教育；应配备必需的消防设施，落实安全管理责任。</w:t>
            </w:r>
          </w:p>
          <w:p>
            <w:pPr>
              <w:spacing w:line="360" w:lineRule="auto"/>
              <w:ind w:firstLine="496" w:firstLineChars="200"/>
              <w:rPr>
                <w:rFonts w:hint="eastAsia" w:ascii="Times New Roman" w:hAnsi="Times New Roman" w:eastAsia="宋体" w:cs="Times New Roman"/>
                <w:color w:val="auto"/>
                <w:spacing w:val="4"/>
                <w:kern w:val="0"/>
                <w:sz w:val="24"/>
                <w:highlight w:val="none"/>
                <w:lang w:val="en-US" w:eastAsia="zh-CN"/>
              </w:rPr>
            </w:pPr>
            <w:r>
              <w:rPr>
                <w:rFonts w:hint="eastAsia" w:ascii="Times New Roman" w:hAnsi="Times New Roman" w:eastAsia="宋体" w:cs="Times New Roman"/>
                <w:color w:val="auto"/>
                <w:spacing w:val="4"/>
                <w:kern w:val="0"/>
                <w:sz w:val="24"/>
                <w:highlight w:val="none"/>
                <w:lang w:val="en-US" w:eastAsia="zh-CN"/>
              </w:rPr>
              <w:t>②制定和落实防火安全责任制及消防安全规章制度，除加强对员工的消防知识培训，对消防安全责任人及员工也定期进行消防知识培训，消防安全管理人员持证上岗。</w:t>
            </w:r>
          </w:p>
          <w:p>
            <w:pPr>
              <w:spacing w:line="360" w:lineRule="auto"/>
              <w:ind w:firstLine="496" w:firstLineChars="200"/>
              <w:rPr>
                <w:rFonts w:hint="eastAsia" w:ascii="Times New Roman" w:hAnsi="Times New Roman" w:eastAsia="宋体" w:cs="Times New Roman"/>
                <w:color w:val="auto"/>
                <w:spacing w:val="4"/>
                <w:kern w:val="0"/>
                <w:sz w:val="24"/>
                <w:highlight w:val="none"/>
                <w:lang w:val="en-US" w:eastAsia="zh-CN"/>
              </w:rPr>
            </w:pPr>
            <w:r>
              <w:rPr>
                <w:rFonts w:hint="eastAsia" w:ascii="Times New Roman" w:hAnsi="Times New Roman" w:eastAsia="宋体" w:cs="Times New Roman"/>
                <w:color w:val="auto"/>
                <w:spacing w:val="4"/>
                <w:kern w:val="0"/>
                <w:sz w:val="24"/>
                <w:highlight w:val="none"/>
                <w:lang w:val="en-US" w:eastAsia="zh-CN"/>
              </w:rPr>
              <w:t>③储存区的建筑设计应符合《建筑设计防火规范》、《仓库防火安全管理规则》、《化学危险物品安全管理条例》等规定。</w:t>
            </w:r>
          </w:p>
          <w:p>
            <w:pPr>
              <w:spacing w:line="360" w:lineRule="auto"/>
              <w:ind w:firstLine="496" w:firstLineChars="200"/>
              <w:rPr>
                <w:rFonts w:hint="eastAsia" w:ascii="Times New Roman" w:hAnsi="Times New Roman" w:eastAsia="宋体" w:cs="Times New Roman"/>
                <w:color w:val="auto"/>
                <w:spacing w:val="4"/>
                <w:kern w:val="0"/>
                <w:sz w:val="24"/>
                <w:highlight w:val="none"/>
                <w:lang w:val="en-US" w:eastAsia="zh-CN"/>
              </w:rPr>
            </w:pPr>
            <w:r>
              <w:rPr>
                <w:rFonts w:hint="eastAsia" w:ascii="Times New Roman" w:hAnsi="Times New Roman" w:eastAsia="宋体" w:cs="Times New Roman"/>
                <w:color w:val="auto"/>
                <w:spacing w:val="4"/>
                <w:kern w:val="0"/>
                <w:sz w:val="24"/>
                <w:highlight w:val="none"/>
                <w:lang w:val="en-US" w:eastAsia="zh-CN"/>
              </w:rPr>
              <w:t>④在储存区应设明显的防火等级标志，通道应保持畅通。</w:t>
            </w:r>
          </w:p>
          <w:p>
            <w:pPr>
              <w:spacing w:line="360" w:lineRule="auto"/>
              <w:ind w:firstLine="496" w:firstLineChars="200"/>
              <w:rPr>
                <w:rFonts w:hint="eastAsia" w:ascii="Times New Roman" w:hAnsi="Times New Roman" w:eastAsia="宋体" w:cs="Times New Roman"/>
                <w:color w:val="auto"/>
                <w:spacing w:val="4"/>
                <w:kern w:val="0"/>
                <w:sz w:val="24"/>
                <w:highlight w:val="none"/>
                <w:lang w:val="en-US" w:eastAsia="zh-CN"/>
              </w:rPr>
            </w:pPr>
            <w:r>
              <w:rPr>
                <w:rFonts w:hint="eastAsia" w:ascii="宋体" w:hAnsi="宋体" w:eastAsia="宋体" w:cs="宋体"/>
                <w:color w:val="auto"/>
                <w:spacing w:val="4"/>
                <w:kern w:val="0"/>
                <w:sz w:val="24"/>
                <w:highlight w:val="none"/>
                <w:lang w:val="en-US" w:eastAsia="zh-CN"/>
              </w:rPr>
              <w:t>⑤石灰粉吸湿性较强，因此生产厂房应注意做好防雨、防潮。</w:t>
            </w:r>
          </w:p>
          <w:p>
            <w:pPr>
              <w:spacing w:line="360" w:lineRule="auto"/>
              <w:ind w:firstLine="496" w:firstLineChars="200"/>
              <w:rPr>
                <w:rFonts w:hint="eastAsia" w:ascii="Times New Roman" w:hAnsi="Times New Roman" w:eastAsia="宋体" w:cs="Times New Roman"/>
                <w:color w:val="auto"/>
                <w:spacing w:val="4"/>
                <w:kern w:val="0"/>
                <w:sz w:val="24"/>
                <w:highlight w:val="none"/>
                <w:lang w:val="en-US" w:eastAsia="zh-CN"/>
              </w:rPr>
            </w:pPr>
            <w:r>
              <w:rPr>
                <w:rFonts w:hint="eastAsia" w:ascii="宋体" w:hAnsi="宋体" w:eastAsia="宋体" w:cs="宋体"/>
                <w:color w:val="auto"/>
                <w:spacing w:val="4"/>
                <w:kern w:val="0"/>
                <w:sz w:val="24"/>
                <w:highlight w:val="none"/>
                <w:lang w:val="en-US" w:eastAsia="zh-CN"/>
              </w:rPr>
              <w:t>⑥</w:t>
            </w:r>
            <w:r>
              <w:rPr>
                <w:rFonts w:hint="eastAsia" w:ascii="Times New Roman" w:hAnsi="Times New Roman" w:eastAsia="宋体" w:cs="Times New Roman"/>
                <w:color w:val="auto"/>
                <w:spacing w:val="4"/>
                <w:kern w:val="0"/>
                <w:sz w:val="24"/>
                <w:highlight w:val="none"/>
                <w:lang w:val="en-US" w:eastAsia="zh-CN"/>
              </w:rPr>
              <w:t>综合考虑本项目废气治理设施发生故障的可能性及事故的类型，建设单位应定期对废气处置设施进行检修，并形成制度。安排环保专员对废气处置设施进行管理，设备检修过程或设施维护过程应暂时停止生产，防治因维护检修造成废气排入空气环境造成污染。</w:t>
            </w:r>
          </w:p>
          <w:p>
            <w:pPr>
              <w:pStyle w:val="1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 xml:space="preserve">16 </w:t>
            </w:r>
            <w:r>
              <w:rPr>
                <w:rFonts w:hint="default" w:ascii="Times New Roman" w:hAnsi="Times New Roman" w:eastAsia="宋体" w:cs="Times New Roman"/>
                <w:b/>
                <w:bCs/>
                <w:color w:val="auto"/>
                <w:highlight w:val="none"/>
              </w:rPr>
              <w:t>建设项目环境风险简单分析内容表</w:t>
            </w:r>
          </w:p>
          <w:tbl>
            <w:tblPr>
              <w:tblStyle w:val="57"/>
              <w:tblW w:w="117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05"/>
              <w:gridCol w:w="1696"/>
              <w:gridCol w:w="1792"/>
              <w:gridCol w:w="1517"/>
              <w:gridCol w:w="822"/>
              <w:gridCol w:w="20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0" w:hRule="atLeast"/>
                <w:tblHeader/>
                <w:jc w:val="center"/>
              </w:trPr>
              <w:tc>
                <w:tcPr>
                  <w:tcW w:w="3905" w:type="dxa"/>
                  <w:tcBorders>
                    <w:top w:val="single" w:color="auto" w:sz="12" w:space="0"/>
                  </w:tcBorders>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建设项目名称</w:t>
                  </w:r>
                </w:p>
              </w:tc>
              <w:tc>
                <w:tcPr>
                  <w:tcW w:w="7874" w:type="dxa"/>
                  <w:gridSpan w:val="5"/>
                  <w:tcBorders>
                    <w:top w:val="single" w:color="auto" w:sz="12" w:space="0"/>
                  </w:tcBorders>
                  <w:noWrap w:val="0"/>
                  <w:vAlign w:val="center"/>
                </w:tcPr>
                <w:p>
                  <w:pPr>
                    <w:pStyle w:val="12"/>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中泽矿业公司奉新县氟石膏和天然石膏及石灰石粉磨加工项目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05"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建设地点</w:t>
                  </w:r>
                </w:p>
              </w:tc>
              <w:tc>
                <w:tcPr>
                  <w:tcW w:w="1696"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（江西）省</w:t>
                  </w:r>
                </w:p>
              </w:tc>
              <w:tc>
                <w:tcPr>
                  <w:tcW w:w="1792"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宜春市</w:t>
                  </w:r>
                  <w:r>
                    <w:rPr>
                      <w:rFonts w:hint="default" w:ascii="Times New Roman" w:hAnsi="Times New Roman" w:eastAsia="宋体" w:cs="Times New Roman"/>
                      <w:color w:val="auto"/>
                      <w:highlight w:val="none"/>
                      <w:lang w:val="en-US" w:eastAsia="zh-CN"/>
                    </w:rPr>
                    <w:t>）市</w:t>
                  </w:r>
                </w:p>
              </w:tc>
              <w:tc>
                <w:tcPr>
                  <w:tcW w:w="1517"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奉新县</w:t>
                  </w:r>
                  <w:r>
                    <w:rPr>
                      <w:rFonts w:hint="default" w:ascii="Times New Roman" w:hAnsi="Times New Roman" w:eastAsia="宋体" w:cs="Times New Roman"/>
                      <w:color w:val="auto"/>
                      <w:highlight w:val="none"/>
                      <w:lang w:val="en-US" w:eastAsia="zh-CN"/>
                    </w:rPr>
                    <w:t>）区</w:t>
                  </w:r>
                </w:p>
              </w:tc>
              <w:tc>
                <w:tcPr>
                  <w:tcW w:w="822"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（）县</w:t>
                  </w:r>
                </w:p>
              </w:tc>
              <w:tc>
                <w:tcPr>
                  <w:tcW w:w="2047"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高新技术产业</w:t>
                  </w:r>
                  <w:r>
                    <w:rPr>
                      <w:rFonts w:hint="default" w:ascii="Times New Roman" w:hAnsi="Times New Roman" w:eastAsia="宋体" w:cs="Times New Roman"/>
                      <w:color w:val="auto"/>
                      <w:highlight w:val="none"/>
                      <w:lang w:val="en-US" w:eastAsia="zh-CN"/>
                    </w:rPr>
                    <w:t>）园区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05"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地理坐标</w:t>
                  </w:r>
                </w:p>
              </w:tc>
              <w:tc>
                <w:tcPr>
                  <w:tcW w:w="1696"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经度</w:t>
                  </w:r>
                </w:p>
              </w:tc>
              <w:tc>
                <w:tcPr>
                  <w:tcW w:w="1792"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115°</w:t>
                  </w:r>
                  <w:r>
                    <w:rPr>
                      <w:rFonts w:hint="eastAsia" w:ascii="Times New Roman" w:hAnsi="Times New Roman" w:eastAsia="宋体" w:cs="Times New Roman"/>
                      <w:color w:val="auto"/>
                      <w:highlight w:val="none"/>
                      <w:lang w:val="en-US" w:eastAsia="zh-CN"/>
                    </w:rPr>
                    <w:t>26</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5.048</w:t>
                  </w:r>
                  <w:r>
                    <w:rPr>
                      <w:rFonts w:hint="default" w:ascii="Times New Roman" w:hAnsi="Times New Roman" w:eastAsia="宋体" w:cs="Times New Roman"/>
                      <w:color w:val="auto"/>
                      <w:highlight w:val="none"/>
                      <w:lang w:val="en-US" w:eastAsia="zh-CN"/>
                    </w:rPr>
                    <w:t>″</w:t>
                  </w:r>
                </w:p>
              </w:tc>
              <w:tc>
                <w:tcPr>
                  <w:tcW w:w="1517"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纬度</w:t>
                  </w:r>
                </w:p>
              </w:tc>
              <w:tc>
                <w:tcPr>
                  <w:tcW w:w="2869" w:type="dxa"/>
                  <w:gridSpan w:val="2"/>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w:t>
                  </w:r>
                  <w:r>
                    <w:rPr>
                      <w:rFonts w:hint="eastAsia" w:ascii="Times New Roman" w:hAnsi="Times New Roman" w:eastAsia="宋体" w:cs="Times New Roman"/>
                      <w:color w:val="auto"/>
                      <w:highlight w:val="none"/>
                      <w:lang w:val="en-US" w:eastAsia="zh-CN"/>
                    </w:rPr>
                    <w:t>40</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32.749</w:t>
                  </w:r>
                  <w:r>
                    <w:rPr>
                      <w:rFonts w:hint="default" w:ascii="Times New Roman" w:hAnsi="Times New Roman" w:eastAsia="宋体"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05"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主要危险物质及分布</w:t>
                  </w:r>
                </w:p>
              </w:tc>
              <w:tc>
                <w:tcPr>
                  <w:tcW w:w="7874" w:type="dxa"/>
                  <w:gridSpan w:val="5"/>
                  <w:noWrap w:val="0"/>
                  <w:vAlign w:val="center"/>
                </w:tcPr>
                <w:p>
                  <w:pPr>
                    <w:pStyle w:val="12"/>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成品罐破裂、沉淀池池壁破裂及废气处理设备故障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3905" w:type="dxa"/>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环境影响途径及危害后果（大气、地表水、地下水等）</w:t>
                  </w:r>
                </w:p>
              </w:tc>
              <w:tc>
                <w:tcPr>
                  <w:tcW w:w="7874" w:type="dxa"/>
                  <w:gridSpan w:val="5"/>
                  <w:noWrap w:val="0"/>
                  <w:vAlign w:val="center"/>
                </w:tcPr>
                <w:p>
                  <w:pPr>
                    <w:pStyle w:val="12"/>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废气、废水外排</w:t>
                  </w:r>
                  <w:r>
                    <w:rPr>
                      <w:rFonts w:hint="default" w:ascii="Times New Roman" w:hAnsi="Times New Roman" w:eastAsia="宋体" w:cs="Times New Roman"/>
                      <w:color w:val="auto"/>
                      <w:highlight w:val="none"/>
                      <w:lang w:val="en-US" w:eastAsia="zh-CN"/>
                    </w:rPr>
                    <w:t>污染</w:t>
                  </w:r>
                  <w:r>
                    <w:rPr>
                      <w:rFonts w:hint="eastAsia" w:ascii="Times New Roman" w:hAnsi="Times New Roman" w:eastAsia="宋体" w:cs="Times New Roman"/>
                      <w:color w:val="auto"/>
                      <w:highlight w:val="none"/>
                      <w:lang w:val="en-US" w:eastAsia="zh-CN"/>
                    </w:rPr>
                    <w:t>厂区大气、地下水及土壤环境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3905" w:type="dxa"/>
                  <w:noWrap w:val="0"/>
                  <w:vAlign w:val="center"/>
                </w:tcPr>
                <w:p>
                  <w:pPr>
                    <w:pStyle w:val="12"/>
                    <w:jc w:val="center"/>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auto"/>
                      <w:highlight w:val="none"/>
                      <w:lang w:val="en-US" w:eastAsia="zh-CN"/>
                    </w:rPr>
                    <w:t>风险防范措施要求</w:t>
                  </w:r>
                </w:p>
              </w:tc>
              <w:tc>
                <w:tcPr>
                  <w:tcW w:w="7874" w:type="dxa"/>
                  <w:gridSpan w:val="5"/>
                  <w:noWrap w:val="0"/>
                  <w:vAlign w:val="center"/>
                </w:tcPr>
                <w:p>
                  <w:pPr>
                    <w:spacing w:line="240" w:lineRule="auto"/>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auto"/>
                      <w:kern w:val="2"/>
                      <w:sz w:val="21"/>
                      <w:szCs w:val="22"/>
                      <w:highlight w:val="none"/>
                      <w:lang w:val="en-US" w:eastAsia="zh-CN" w:bidi="ar-SA"/>
                    </w:rPr>
                    <w:t>①为把风险事故的发生和影响降到最低限度，针对项目的生产特点，特别应注意以下几点：加强职工安全环保教育，增强操作工人的责任心，防止和减少因人为因素造成的事故，同时也要加强防火安全教育；应配备必需的消防设施，落实安全管理责任。②制定和落实防火安全责任制及消防安全规章制度，除加强对员工的消防知识培训，对消防安全责任人及员工也定期进行消防知识培训，消防安全管理人员持证上岗。③储存区的建筑设计应符合《建筑设计防火规范》、《仓库防火安全管理规则》、《化学危险物品安全管理条例》等规定。④在储存区应设明显的防火等级标志，通道应保持畅通。⑤石灰粉吸湿性较强，因此生产厂房应注意做好防雨、防潮。⑥综合考虑本项目废气治理设施发生故障的可能性及事故的类型，建设单位应定期对废气处置设施进行检修，并形成制度。安排环保专员对废气处置设施进行管理，设备检修过程或设施维护过程应暂时停止生产，防治因维护检修造成废气排入空气环境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11779" w:type="dxa"/>
                  <w:gridSpan w:val="6"/>
                  <w:tcBorders>
                    <w:bottom w:val="single" w:color="auto" w:sz="12" w:space="0"/>
                  </w:tcBorders>
                  <w:noWrap w:val="0"/>
                  <w:vAlign w:val="center"/>
                </w:tcPr>
                <w:p>
                  <w:pPr>
                    <w:pStyle w:val="12"/>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填表说明：</w:t>
                  </w:r>
                  <w:r>
                    <w:rPr>
                      <w:color w:val="000000" w:themeColor="text1"/>
                      <w:highlight w:val="none"/>
                      <w14:textFill>
                        <w14:solidFill>
                          <w14:schemeClr w14:val="tx1"/>
                        </w14:solidFill>
                      </w14:textFill>
                    </w:rPr>
                    <w:t>本项目Q＜1</w:t>
                  </w:r>
                  <w:r>
                    <w:rPr>
                      <w:rFonts w:hint="eastAsia"/>
                      <w:color w:val="000000" w:themeColor="text1"/>
                      <w:highlight w:val="none"/>
                      <w14:textFill>
                        <w14:solidFill>
                          <w14:schemeClr w14:val="tx1"/>
                        </w14:solidFill>
                      </w14:textFill>
                    </w:rPr>
                    <w:t>。</w:t>
                  </w:r>
                  <w:r>
                    <w:rPr>
                      <w:rFonts w:hint="eastAsia" w:ascii="宋体" w:hAnsi="宋体"/>
                      <w:color w:val="000000" w:themeColor="text1"/>
                      <w:szCs w:val="24"/>
                      <w:highlight w:val="none"/>
                      <w14:textFill>
                        <w14:solidFill>
                          <w14:schemeClr w14:val="tx1"/>
                        </w14:solidFill>
                      </w14:textFill>
                    </w:rPr>
                    <w:t>环境风险潜势划分为</w:t>
                  </w:r>
                  <w:r>
                    <w:rPr>
                      <w:rFonts w:hint="eastAsia" w:ascii="TimesNewRomanPSMT" w:hAnsi="TimesNewRomanPSMT" w:eastAsia="TimesNewRomanPSMT"/>
                      <w:color w:val="000000" w:themeColor="text1"/>
                      <w:szCs w:val="24"/>
                      <w:highlight w:val="none"/>
                      <w14:textFill>
                        <w14:solidFill>
                          <w14:schemeClr w14:val="tx1"/>
                        </w14:solidFill>
                      </w14:textFill>
                    </w:rPr>
                    <w:t>Ⅰ</w:t>
                  </w:r>
                  <w:r>
                    <w:rPr>
                      <w:rFonts w:hint="eastAsia" w:ascii="宋体" w:hAnsi="宋体"/>
                      <w:color w:val="000000" w:themeColor="text1"/>
                      <w:szCs w:val="24"/>
                      <w:highlight w:val="none"/>
                      <w14:textFill>
                        <w14:solidFill>
                          <w14:schemeClr w14:val="tx1"/>
                        </w14:solidFill>
                      </w14:textFill>
                    </w:rPr>
                    <w:t>级，环境风险评价等级为简单分析。</w:t>
                  </w:r>
                </w:p>
              </w:tc>
            </w:tr>
          </w:tbl>
          <w:p>
            <w:pPr>
              <w:keepNext w:val="0"/>
              <w:keepLines w:val="0"/>
              <w:pageBreakBefore w:val="0"/>
              <w:widowControl w:val="0"/>
              <w:kinsoku/>
              <w:wordWrap/>
              <w:overflowPunct/>
              <w:topLinePunct w:val="0"/>
              <w:autoSpaceDE/>
              <w:autoSpaceDN/>
              <w:bidi w:val="0"/>
              <w:snapToGrid/>
              <w:spacing w:line="360" w:lineRule="auto"/>
              <w:ind w:right="0" w:rightChars="0" w:firstLine="482" w:firstLineChars="200"/>
              <w:jc w:val="both"/>
              <w:rPr>
                <w:rFonts w:hint="default" w:ascii="Times New Roman" w:hAnsi="Times New Roman" w:eastAsia="宋体" w:cs="Times New Roman"/>
                <w:b/>
                <w:bCs/>
                <w:color w:val="FF0000"/>
                <w:sz w:val="24"/>
                <w:szCs w:val="24"/>
                <w:highlight w:val="none"/>
                <w:shd w:val="clear" w:color="auto" w:fill="auto"/>
                <w:lang w:val="en-US" w:eastAsia="zh-CN"/>
              </w:rPr>
            </w:pPr>
            <w:r>
              <w:rPr>
                <w:rFonts w:hint="default" w:ascii="Times New Roman" w:hAnsi="Times New Roman" w:eastAsia="宋体" w:cs="Times New Roman"/>
                <w:b/>
                <w:bCs/>
                <w:color w:val="auto"/>
                <w:sz w:val="24"/>
                <w:szCs w:val="24"/>
                <w:highlight w:val="none"/>
                <w:shd w:val="clear" w:color="auto" w:fill="auto"/>
                <w:lang w:val="en-US" w:eastAsia="zh-CN"/>
              </w:rPr>
              <w:t>七、排污口设置及规范化整治</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废水排放口、固定噪声源、固体废物贮存和排气筒必须按照《江西省排污口设置与规范化整治管理办法》进行建设，应符合“一明显、二合理、三便于”的要求，即环保标志明显，排污口设置合理，便于采集样品、便于监测计量、便于公众参与和监督管理。同时要求按照《环境保护图形标志实施细则（试行）》（环监[1996]463号）的规定，设置与排污口相应的图形标志牌。</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（1）烟囱（排气筒）设置取样口，并具备采样监测条件，废水排放口附近</w:t>
            </w:r>
            <w:r>
              <w:rPr>
                <w:rFonts w:hint="default" w:ascii="Times New Roman" w:hAnsi="Times New Roman" w:eastAsia="宋体" w:cs="Times New Roman"/>
                <w:color w:val="auto"/>
                <w:sz w:val="24"/>
                <w:lang w:eastAsia="zh-CN"/>
              </w:rPr>
              <w:t>竖立</w:t>
            </w:r>
            <w:r>
              <w:rPr>
                <w:rFonts w:hint="default" w:ascii="Times New Roman" w:hAnsi="Times New Roman" w:eastAsia="宋体" w:cs="Times New Roman"/>
                <w:color w:val="auto"/>
                <w:sz w:val="24"/>
              </w:rPr>
              <w:t>图形标志牌。</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（2）排污口管理。建设单位应在各个排污口</w:t>
            </w:r>
            <w:r>
              <w:rPr>
                <w:rFonts w:hint="default" w:ascii="Times New Roman" w:hAnsi="Times New Roman" w:eastAsia="宋体" w:cs="Times New Roman"/>
                <w:color w:val="auto"/>
                <w:sz w:val="24"/>
                <w:lang w:eastAsia="zh-CN"/>
              </w:rPr>
              <w:t>处竖立</w:t>
            </w:r>
            <w:r>
              <w:rPr>
                <w:rFonts w:hint="default" w:ascii="Times New Roman" w:hAnsi="Times New Roman" w:eastAsia="宋体" w:cs="Times New Roman"/>
                <w:color w:val="auto"/>
                <w:sz w:val="24"/>
              </w:rPr>
              <w:t>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（3）环境保护图形标志</w:t>
            </w:r>
          </w:p>
          <w:p>
            <w:pPr>
              <w:spacing w:line="360" w:lineRule="auto"/>
              <w:ind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在废水排放口、废气排放源、固体废物贮存处置场应设置环境保护图形标志，图形符号分为提示图形和警告图形符号两种，分别按GB15562.1-1995、GB15562.2-1995执行。环境保护图形标志的形状及颜色见表4-</w:t>
            </w:r>
            <w:r>
              <w:rPr>
                <w:rFonts w:hint="eastAsia" w:ascii="Times New Roman" w:hAnsi="Times New Roman" w:eastAsia="宋体" w:cs="Times New Roman"/>
                <w:color w:val="auto"/>
                <w:sz w:val="24"/>
                <w:lang w:val="en-US" w:eastAsia="zh-CN"/>
              </w:rPr>
              <w:t>17</w:t>
            </w:r>
            <w:r>
              <w:rPr>
                <w:rFonts w:hint="default" w:ascii="Times New Roman" w:hAnsi="Times New Roman" w:eastAsia="宋体" w:cs="Times New Roman"/>
                <w:color w:val="auto"/>
                <w:sz w:val="24"/>
              </w:rPr>
              <w:t>，环境保护图形符号见表4</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rPr>
              <w:t>。</w:t>
            </w:r>
          </w:p>
          <w:p>
            <w:pPr>
              <w:pStyle w:val="1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eastAsia" w:ascii="Times New Roman" w:hAnsi="Times New Roman" w:eastAsia="宋体" w:cs="Times New Roman"/>
                <w:b/>
                <w:bCs/>
                <w:color w:val="auto"/>
                <w:highlight w:val="none"/>
                <w:lang w:val="en-US" w:eastAsia="zh-CN"/>
              </w:rPr>
              <w:t xml:space="preserve">17 </w:t>
            </w:r>
            <w:r>
              <w:rPr>
                <w:rFonts w:hint="default" w:ascii="Times New Roman" w:hAnsi="Times New Roman" w:eastAsia="宋体" w:cs="Times New Roman"/>
                <w:b/>
                <w:bCs/>
                <w:color w:val="auto"/>
                <w:highlight w:val="none"/>
              </w:rPr>
              <w:t>环境保护图形标志的形状及颜色表</w:t>
            </w:r>
          </w:p>
          <w:tbl>
            <w:tblPr>
              <w:tblStyle w:val="5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7"/>
              <w:gridCol w:w="2947"/>
              <w:gridCol w:w="2948"/>
              <w:gridCol w:w="2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b/>
                      <w:color w:val="auto"/>
                    </w:rPr>
                    <w:t>标志名称</w:t>
                  </w:r>
                </w:p>
              </w:tc>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b/>
                      <w:color w:val="auto"/>
                    </w:rPr>
                    <w:t>形状</w:t>
                  </w:r>
                </w:p>
              </w:tc>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b/>
                      <w:color w:val="auto"/>
                    </w:rPr>
                    <w:t>背景颜色</w:t>
                  </w:r>
                </w:p>
              </w:tc>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b/>
                      <w:color w:val="auto"/>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警告标志</w:t>
                  </w:r>
                </w:p>
              </w:tc>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三角形边框</w:t>
                  </w:r>
                </w:p>
              </w:tc>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黄色</w:t>
                  </w:r>
                </w:p>
              </w:tc>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提示标志</w:t>
                  </w:r>
                </w:p>
              </w:tc>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正方形边框</w:t>
                  </w:r>
                </w:p>
              </w:tc>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绿色</w:t>
                  </w:r>
                </w:p>
              </w:tc>
              <w:tc>
                <w:tcPr>
                  <w:tcW w:w="1250"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白色</w:t>
                  </w:r>
                </w:p>
              </w:tc>
            </w:tr>
          </w:tbl>
          <w:p>
            <w:pPr>
              <w:pStyle w:val="12"/>
              <w:jc w:val="center"/>
              <w:rPr>
                <w:rFonts w:hint="default" w:ascii="Times New Roman" w:hAnsi="Times New Roman" w:eastAsia="宋体" w:cs="Times New Roman"/>
                <w:b/>
                <w:bCs/>
                <w:color w:val="auto"/>
                <w:highlight w:val="none"/>
              </w:rPr>
            </w:pPr>
          </w:p>
          <w:p>
            <w:pPr>
              <w:pStyle w:val="12"/>
              <w:jc w:val="center"/>
              <w:rPr>
                <w:rFonts w:hint="default" w:ascii="Times New Roman" w:hAnsi="Times New Roman" w:eastAsia="宋体" w:cs="Times New Roman"/>
                <w:b/>
                <w:bCs/>
                <w:color w:val="auto"/>
                <w:highlight w:val="none"/>
              </w:rPr>
            </w:pPr>
          </w:p>
          <w:p>
            <w:pPr>
              <w:pStyle w:val="12"/>
              <w:jc w:val="center"/>
              <w:rPr>
                <w:rFonts w:hint="default" w:ascii="Times New Roman" w:hAnsi="Times New Roman" w:eastAsia="宋体" w:cs="Times New Roman"/>
                <w:b/>
                <w:bCs/>
                <w:color w:val="auto"/>
                <w:highlight w:val="none"/>
              </w:rPr>
            </w:pPr>
          </w:p>
          <w:p>
            <w:pPr>
              <w:pStyle w:val="12"/>
              <w:jc w:val="center"/>
              <w:rPr>
                <w:rFonts w:hint="default" w:ascii="Times New Roman" w:hAnsi="Times New Roman" w:eastAsia="宋体" w:cs="Times New Roman"/>
                <w:b/>
                <w:bCs/>
                <w:color w:val="auto"/>
                <w:highlight w:val="none"/>
              </w:rPr>
            </w:pPr>
          </w:p>
          <w:p>
            <w:pPr>
              <w:pStyle w:val="12"/>
              <w:jc w:val="center"/>
              <w:rPr>
                <w:rFonts w:hint="default" w:ascii="Times New Roman" w:hAnsi="Times New Roman" w:eastAsia="宋体" w:cs="Times New Roman"/>
                <w:b/>
                <w:bCs/>
                <w:color w:val="auto"/>
                <w:highlight w:val="none"/>
              </w:rPr>
            </w:pPr>
          </w:p>
          <w:p>
            <w:pPr>
              <w:pStyle w:val="12"/>
              <w:jc w:val="center"/>
              <w:rPr>
                <w:rFonts w:hint="default" w:ascii="Times New Roman" w:hAnsi="Times New Roman" w:eastAsia="宋体" w:cs="Times New Roman"/>
                <w:b/>
                <w:bCs/>
                <w:color w:val="auto"/>
                <w:highlight w:val="none"/>
              </w:rPr>
            </w:pPr>
          </w:p>
          <w:p>
            <w:pPr>
              <w:pStyle w:val="1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default" w:ascii="Times New Roman" w:hAnsi="Times New Roman" w:eastAsia="宋体"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 xml:space="preserve">18 </w:t>
            </w:r>
            <w:r>
              <w:rPr>
                <w:rFonts w:hint="default" w:ascii="Times New Roman" w:hAnsi="Times New Roman" w:eastAsia="宋体" w:cs="Times New Roman"/>
                <w:b/>
                <w:bCs/>
                <w:color w:val="auto"/>
                <w:highlight w:val="none"/>
              </w:rPr>
              <w:t>环境保护图形符号一览表</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2"/>
              <w:gridCol w:w="2193"/>
              <w:gridCol w:w="2322"/>
              <w:gridCol w:w="2791"/>
              <w:gridCol w:w="3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892"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193"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提示图形符号</w:t>
                  </w:r>
                </w:p>
              </w:tc>
              <w:tc>
                <w:tcPr>
                  <w:tcW w:w="2322"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警告图形符号</w:t>
                  </w:r>
                </w:p>
              </w:tc>
              <w:tc>
                <w:tcPr>
                  <w:tcW w:w="2791"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3597"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7" w:hRule="atLeast"/>
                <w:jc w:val="center"/>
              </w:trPr>
              <w:tc>
                <w:tcPr>
                  <w:tcW w:w="892" w:type="dxa"/>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193" w:type="dxa"/>
                  <w:noWrap w:val="0"/>
                  <w:vAlign w:val="center"/>
                </w:tcPr>
                <w:p>
                  <w:pPr>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drawing>
                      <wp:inline distT="0" distB="0" distL="114300" distR="114300">
                        <wp:extent cx="782320" cy="790575"/>
                        <wp:effectExtent l="0" t="0" r="17780" b="9525"/>
                        <wp:docPr id="13" name="图片 3" descr="说明: 说明: 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说明: 说明: 说明: 13003"/>
                                <pic:cNvPicPr>
                                  <a:picLocks noChangeAspect="1"/>
                                </pic:cNvPicPr>
                              </pic:nvPicPr>
                              <pic:blipFill>
                                <a:blip r:embed="rId25"/>
                                <a:stretch>
                                  <a:fillRect/>
                                </a:stretch>
                              </pic:blipFill>
                              <pic:spPr>
                                <a:xfrm>
                                  <a:off x="0" y="0"/>
                                  <a:ext cx="782320" cy="790575"/>
                                </a:xfrm>
                                <a:prstGeom prst="rect">
                                  <a:avLst/>
                                </a:prstGeom>
                                <a:noFill/>
                                <a:ln w="9525">
                                  <a:noFill/>
                                  <a:miter/>
                                </a:ln>
                                <a:effectLst/>
                              </pic:spPr>
                            </pic:pic>
                          </a:graphicData>
                        </a:graphic>
                      </wp:inline>
                    </w:drawing>
                  </w:r>
                </w:p>
              </w:tc>
              <w:tc>
                <w:tcPr>
                  <w:tcW w:w="2322" w:type="dxa"/>
                  <w:noWrap w:val="0"/>
                  <w:vAlign w:val="center"/>
                </w:tcPr>
                <w:p>
                  <w:pPr>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drawing>
                      <wp:inline distT="0" distB="0" distL="114300" distR="114300">
                        <wp:extent cx="829310" cy="829945"/>
                        <wp:effectExtent l="0" t="0" r="8890" b="8255"/>
                        <wp:docPr id="12" name="图片 4" descr="说明: 说明: 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说明: 说明: 说明: 4"/>
                                <pic:cNvPicPr>
                                  <a:picLocks noChangeAspect="1"/>
                                </pic:cNvPicPr>
                              </pic:nvPicPr>
                              <pic:blipFill>
                                <a:blip r:embed="rId26"/>
                                <a:stretch>
                                  <a:fillRect/>
                                </a:stretch>
                              </pic:blipFill>
                              <pic:spPr>
                                <a:xfrm>
                                  <a:off x="0" y="0"/>
                                  <a:ext cx="829310" cy="829945"/>
                                </a:xfrm>
                                <a:prstGeom prst="rect">
                                  <a:avLst/>
                                </a:prstGeom>
                                <a:noFill/>
                                <a:ln w="9525">
                                  <a:noFill/>
                                  <a:miter/>
                                </a:ln>
                                <a:effectLst/>
                              </pic:spPr>
                            </pic:pic>
                          </a:graphicData>
                        </a:graphic>
                      </wp:inline>
                    </w:drawing>
                  </w:r>
                </w:p>
              </w:tc>
              <w:tc>
                <w:tcPr>
                  <w:tcW w:w="2791"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废气排放口</w:t>
                  </w:r>
                </w:p>
              </w:tc>
              <w:tc>
                <w:tcPr>
                  <w:tcW w:w="3597"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7" w:hRule="atLeast"/>
                <w:jc w:val="center"/>
              </w:trPr>
              <w:tc>
                <w:tcPr>
                  <w:tcW w:w="892" w:type="dxa"/>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2193" w:type="dxa"/>
                  <w:noWrap w:val="0"/>
                  <w:vAlign w:val="center"/>
                </w:tcPr>
                <w:p>
                  <w:pPr>
                    <w:jc w:val="center"/>
                    <w:rPr>
                      <w:rFonts w:hint="default" w:ascii="Times New Roman" w:hAnsi="Times New Roman" w:eastAsia="宋体" w:cs="Times New Roman"/>
                      <w:color w:val="FF0000"/>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848360" cy="857250"/>
                        <wp:effectExtent l="0" t="0" r="8890" b="0"/>
                        <wp:docPr id="22" name="图片 6" descr="说明: 说明: 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说明: 说明: 说明: 13001"/>
                                <pic:cNvPicPr>
                                  <a:picLocks noChangeAspect="1"/>
                                </pic:cNvPicPr>
                              </pic:nvPicPr>
                              <pic:blipFill>
                                <a:blip r:embed="rId27"/>
                                <a:stretch>
                                  <a:fillRect/>
                                </a:stretch>
                              </pic:blipFill>
                              <pic:spPr>
                                <a:xfrm>
                                  <a:off x="0" y="0"/>
                                  <a:ext cx="848360" cy="857250"/>
                                </a:xfrm>
                                <a:prstGeom prst="rect">
                                  <a:avLst/>
                                </a:prstGeom>
                                <a:noFill/>
                                <a:ln w="9525">
                                  <a:noFill/>
                                  <a:miter/>
                                </a:ln>
                                <a:effectLst/>
                              </pic:spPr>
                            </pic:pic>
                          </a:graphicData>
                        </a:graphic>
                      </wp:inline>
                    </w:drawing>
                  </w:r>
                </w:p>
              </w:tc>
              <w:tc>
                <w:tcPr>
                  <w:tcW w:w="2322" w:type="dxa"/>
                  <w:noWrap w:val="0"/>
                  <w:vAlign w:val="center"/>
                </w:tcPr>
                <w:p>
                  <w:pPr>
                    <w:jc w:val="center"/>
                    <w:rPr>
                      <w:rFonts w:hint="default" w:ascii="Times New Roman" w:hAnsi="Times New Roman" w:eastAsia="宋体" w:cs="Times New Roman"/>
                      <w:color w:val="FF0000"/>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828040" cy="838200"/>
                        <wp:effectExtent l="0" t="0" r="10160" b="0"/>
                        <wp:docPr id="23" name="图片 5" descr="说明: 说明: 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说明: 说明: 说明: 13002"/>
                                <pic:cNvPicPr>
                                  <a:picLocks noChangeAspect="1"/>
                                </pic:cNvPicPr>
                              </pic:nvPicPr>
                              <pic:blipFill>
                                <a:blip r:embed="rId28"/>
                                <a:stretch>
                                  <a:fillRect/>
                                </a:stretch>
                              </pic:blipFill>
                              <pic:spPr>
                                <a:xfrm>
                                  <a:off x="0" y="0"/>
                                  <a:ext cx="828040" cy="838200"/>
                                </a:xfrm>
                                <a:prstGeom prst="rect">
                                  <a:avLst/>
                                </a:prstGeom>
                                <a:noFill/>
                                <a:ln w="9525">
                                  <a:noFill/>
                                  <a:miter/>
                                </a:ln>
                                <a:effectLst/>
                              </pic:spPr>
                            </pic:pic>
                          </a:graphicData>
                        </a:graphic>
                      </wp:inline>
                    </w:drawing>
                  </w:r>
                </w:p>
              </w:tc>
              <w:tc>
                <w:tcPr>
                  <w:tcW w:w="2791"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废水排放口</w:t>
                  </w:r>
                </w:p>
              </w:tc>
              <w:tc>
                <w:tcPr>
                  <w:tcW w:w="3597"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表示废水向水体排放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892" w:type="dxa"/>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2193" w:type="dxa"/>
                  <w:noWrap w:val="0"/>
                  <w:vAlign w:val="center"/>
                </w:tcPr>
                <w:p>
                  <w:pPr>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drawing>
                      <wp:inline distT="0" distB="0" distL="114300" distR="114300">
                        <wp:extent cx="772160" cy="780415"/>
                        <wp:effectExtent l="0" t="0" r="8890" b="635"/>
                        <wp:docPr id="11" name="图片 2" descr="说明: 说明: 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说明: 说明: 说明: 14001"/>
                                <pic:cNvPicPr>
                                  <a:picLocks noChangeAspect="1"/>
                                </pic:cNvPicPr>
                              </pic:nvPicPr>
                              <pic:blipFill>
                                <a:blip r:embed="rId29"/>
                                <a:stretch>
                                  <a:fillRect/>
                                </a:stretch>
                              </pic:blipFill>
                              <pic:spPr>
                                <a:xfrm>
                                  <a:off x="0" y="0"/>
                                  <a:ext cx="772160" cy="780415"/>
                                </a:xfrm>
                                <a:prstGeom prst="rect">
                                  <a:avLst/>
                                </a:prstGeom>
                                <a:noFill/>
                                <a:ln w="9525">
                                  <a:noFill/>
                                  <a:miter/>
                                </a:ln>
                                <a:effectLst/>
                              </pic:spPr>
                            </pic:pic>
                          </a:graphicData>
                        </a:graphic>
                      </wp:inline>
                    </w:drawing>
                  </w:r>
                </w:p>
              </w:tc>
              <w:tc>
                <w:tcPr>
                  <w:tcW w:w="2322" w:type="dxa"/>
                  <w:noWrap w:val="0"/>
                  <w:vAlign w:val="center"/>
                </w:tcPr>
                <w:p>
                  <w:pPr>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drawing>
                      <wp:inline distT="0" distB="0" distL="114300" distR="114300">
                        <wp:extent cx="848360" cy="795655"/>
                        <wp:effectExtent l="0" t="0" r="8890" b="4445"/>
                        <wp:docPr id="6" name="图片 8" descr="说明: 说明: 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说明: 说明: 说明: 14002"/>
                                <pic:cNvPicPr>
                                  <a:picLocks noChangeAspect="1"/>
                                </pic:cNvPicPr>
                              </pic:nvPicPr>
                              <pic:blipFill>
                                <a:blip r:embed="rId30"/>
                                <a:stretch>
                                  <a:fillRect/>
                                </a:stretch>
                              </pic:blipFill>
                              <pic:spPr>
                                <a:xfrm>
                                  <a:off x="0" y="0"/>
                                  <a:ext cx="848360" cy="795655"/>
                                </a:xfrm>
                                <a:prstGeom prst="rect">
                                  <a:avLst/>
                                </a:prstGeom>
                                <a:noFill/>
                                <a:ln w="9525">
                                  <a:noFill/>
                                  <a:miter/>
                                </a:ln>
                                <a:effectLst/>
                              </pic:spPr>
                            </pic:pic>
                          </a:graphicData>
                        </a:graphic>
                      </wp:inline>
                    </w:drawing>
                  </w:r>
                </w:p>
              </w:tc>
              <w:tc>
                <w:tcPr>
                  <w:tcW w:w="2791"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一般固体废物</w:t>
                  </w:r>
                </w:p>
              </w:tc>
              <w:tc>
                <w:tcPr>
                  <w:tcW w:w="3597"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892" w:type="dxa"/>
                  <w:noWrap w:val="0"/>
                  <w:vAlign w:val="center"/>
                </w:tcPr>
                <w:p>
                  <w:pPr>
                    <w:jc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auto"/>
                      <w:lang w:val="en-US" w:eastAsia="zh-CN"/>
                    </w:rPr>
                    <w:t>4</w:t>
                  </w:r>
                </w:p>
              </w:tc>
              <w:tc>
                <w:tcPr>
                  <w:tcW w:w="2193" w:type="dxa"/>
                  <w:noWrap w:val="0"/>
                  <w:vAlign w:val="center"/>
                </w:tcPr>
                <w:p>
                  <w:pPr>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drawing>
                      <wp:inline distT="0" distB="0" distL="114300" distR="114300">
                        <wp:extent cx="791210" cy="791210"/>
                        <wp:effectExtent l="0" t="0" r="8890" b="8890"/>
                        <wp:docPr id="9" name="图片 7" descr="说明: 说明: 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说明: 说明: 说明: 200602201518049853"/>
                                <pic:cNvPicPr>
                                  <a:picLocks noChangeAspect="1"/>
                                </pic:cNvPicPr>
                              </pic:nvPicPr>
                              <pic:blipFill>
                                <a:blip r:embed="rId31"/>
                                <a:stretch>
                                  <a:fillRect/>
                                </a:stretch>
                              </pic:blipFill>
                              <pic:spPr>
                                <a:xfrm>
                                  <a:off x="0" y="0"/>
                                  <a:ext cx="791210" cy="791210"/>
                                </a:xfrm>
                                <a:prstGeom prst="rect">
                                  <a:avLst/>
                                </a:prstGeom>
                                <a:noFill/>
                                <a:ln w="9525">
                                  <a:noFill/>
                                  <a:miter/>
                                </a:ln>
                                <a:effectLst/>
                              </pic:spPr>
                            </pic:pic>
                          </a:graphicData>
                        </a:graphic>
                      </wp:inline>
                    </w:drawing>
                  </w:r>
                </w:p>
              </w:tc>
              <w:tc>
                <w:tcPr>
                  <w:tcW w:w="2322" w:type="dxa"/>
                  <w:noWrap w:val="0"/>
                  <w:vAlign w:val="center"/>
                </w:tcPr>
                <w:p>
                  <w:pPr>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drawing>
                      <wp:inline distT="0" distB="0" distL="114300" distR="114300">
                        <wp:extent cx="885825" cy="786765"/>
                        <wp:effectExtent l="0" t="0" r="9525" b="13335"/>
                        <wp:docPr id="10" name="图片 8" descr="说明: 说明: 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说明: 说明: 说明: 200602201519018631"/>
                                <pic:cNvPicPr>
                                  <a:picLocks noChangeAspect="1"/>
                                </pic:cNvPicPr>
                              </pic:nvPicPr>
                              <pic:blipFill>
                                <a:blip r:embed="rId32"/>
                                <a:stretch>
                                  <a:fillRect/>
                                </a:stretch>
                              </pic:blipFill>
                              <pic:spPr>
                                <a:xfrm>
                                  <a:off x="0" y="0"/>
                                  <a:ext cx="885825" cy="786765"/>
                                </a:xfrm>
                                <a:prstGeom prst="rect">
                                  <a:avLst/>
                                </a:prstGeom>
                                <a:noFill/>
                                <a:ln w="9525">
                                  <a:noFill/>
                                  <a:miter/>
                                </a:ln>
                                <a:effectLst/>
                              </pic:spPr>
                            </pic:pic>
                          </a:graphicData>
                        </a:graphic>
                      </wp:inline>
                    </w:drawing>
                  </w:r>
                </w:p>
              </w:tc>
              <w:tc>
                <w:tcPr>
                  <w:tcW w:w="2791"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噪声排放源</w:t>
                  </w:r>
                </w:p>
              </w:tc>
              <w:tc>
                <w:tcPr>
                  <w:tcW w:w="3597"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892" w:type="dxa"/>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4515" w:type="dxa"/>
                  <w:gridSpan w:val="2"/>
                  <w:noWrap w:val="0"/>
                  <w:vAlign w:val="center"/>
                </w:tcPr>
                <w:p>
                  <w:pPr>
                    <w:jc w:val="center"/>
                    <w:rPr>
                      <w:rFonts w:hint="default" w:ascii="Times New Roman" w:hAnsi="Times New Roman" w:eastAsia="宋体" w:cs="Times New Roman"/>
                      <w:color w:val="FF0000"/>
                    </w:rPr>
                  </w:pPr>
                  <w:r>
                    <w:rPr>
                      <w:color w:val="FF0000"/>
                    </w:rPr>
                    <w:drawing>
                      <wp:inline distT="0" distB="0" distL="114300" distR="114300">
                        <wp:extent cx="1358265" cy="1358265"/>
                        <wp:effectExtent l="0" t="0" r="13335" b="1333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33"/>
                                <a:stretch>
                                  <a:fillRect/>
                                </a:stretch>
                              </pic:blipFill>
                              <pic:spPr>
                                <a:xfrm>
                                  <a:off x="0" y="0"/>
                                  <a:ext cx="1358265" cy="1358265"/>
                                </a:xfrm>
                                <a:prstGeom prst="rect">
                                  <a:avLst/>
                                </a:prstGeom>
                                <a:noFill/>
                                <a:ln>
                                  <a:noFill/>
                                </a:ln>
                              </pic:spPr>
                            </pic:pic>
                          </a:graphicData>
                        </a:graphic>
                      </wp:inline>
                    </w:drawing>
                  </w:r>
                </w:p>
              </w:tc>
              <w:tc>
                <w:tcPr>
                  <w:tcW w:w="6388" w:type="dxa"/>
                  <w:gridSpan w:val="2"/>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危险废物</w:t>
                  </w:r>
                  <w:r>
                    <w:rPr>
                      <w:rFonts w:hint="eastAsia" w:cs="Times New Roman"/>
                      <w:color w:val="auto"/>
                      <w:lang w:eastAsia="zh-CN"/>
                    </w:rPr>
                    <w:t>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892" w:type="dxa"/>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p>
              </w:tc>
              <w:tc>
                <w:tcPr>
                  <w:tcW w:w="4515" w:type="dxa"/>
                  <w:gridSpan w:val="2"/>
                  <w:noWrap w:val="0"/>
                  <w:vAlign w:val="center"/>
                </w:tcPr>
                <w:p>
                  <w:pPr>
                    <w:jc w:val="center"/>
                    <w:rPr>
                      <w:rFonts w:hint="default" w:ascii="Times New Roman" w:hAnsi="Times New Roman" w:eastAsia="宋体" w:cs="Times New Roman"/>
                      <w:color w:val="FF0000"/>
                    </w:rPr>
                  </w:pPr>
                  <w:r>
                    <w:rPr>
                      <w:color w:val="FF0000"/>
                    </w:rPr>
                    <w:drawing>
                      <wp:inline distT="0" distB="0" distL="114300" distR="114300">
                        <wp:extent cx="1535430" cy="1285875"/>
                        <wp:effectExtent l="0" t="0" r="7620" b="952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4"/>
                                <a:stretch>
                                  <a:fillRect/>
                                </a:stretch>
                              </pic:blipFill>
                              <pic:spPr>
                                <a:xfrm>
                                  <a:off x="0" y="0"/>
                                  <a:ext cx="1535430" cy="1285875"/>
                                </a:xfrm>
                                <a:prstGeom prst="rect">
                                  <a:avLst/>
                                </a:prstGeom>
                                <a:noFill/>
                                <a:ln>
                                  <a:noFill/>
                                </a:ln>
                              </pic:spPr>
                            </pic:pic>
                          </a:graphicData>
                        </a:graphic>
                      </wp:inline>
                    </w:drawing>
                  </w:r>
                </w:p>
              </w:tc>
              <w:tc>
                <w:tcPr>
                  <w:tcW w:w="6388" w:type="dxa"/>
                  <w:gridSpan w:val="2"/>
                  <w:noWrap w:val="0"/>
                  <w:vAlign w:val="center"/>
                </w:tcPr>
                <w:p>
                  <w:pPr>
                    <w:jc w:val="center"/>
                    <w:rPr>
                      <w:rFonts w:hint="default" w:ascii="Times New Roman" w:hAnsi="Times New Roman" w:eastAsia="宋体" w:cs="Times New Roman"/>
                      <w:color w:val="auto"/>
                    </w:rPr>
                  </w:pPr>
                  <w:r>
                    <w:rPr>
                      <w:rFonts w:hint="eastAsia" w:cs="Times New Roman"/>
                      <w:color w:val="auto"/>
                      <w:lang w:eastAsia="zh-CN"/>
                    </w:rPr>
                    <w:t>危险废物贮存分区标志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892" w:type="dxa"/>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4515" w:type="dxa"/>
                  <w:gridSpan w:val="2"/>
                  <w:noWrap w:val="0"/>
                  <w:vAlign w:val="center"/>
                </w:tcPr>
                <w:p>
                  <w:pPr>
                    <w:jc w:val="center"/>
                    <w:rPr>
                      <w:rFonts w:hint="default" w:ascii="Times New Roman" w:hAnsi="Times New Roman" w:eastAsia="宋体" w:cs="Times New Roman"/>
                      <w:color w:val="FF0000"/>
                    </w:rPr>
                  </w:pPr>
                  <w:r>
                    <w:rPr>
                      <w:color w:val="FF0000"/>
                    </w:rPr>
                    <w:drawing>
                      <wp:inline distT="0" distB="0" distL="114300" distR="114300">
                        <wp:extent cx="2453005" cy="1547495"/>
                        <wp:effectExtent l="0" t="0" r="4445" b="1460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5"/>
                                <a:stretch>
                                  <a:fillRect/>
                                </a:stretch>
                              </pic:blipFill>
                              <pic:spPr>
                                <a:xfrm>
                                  <a:off x="0" y="0"/>
                                  <a:ext cx="2453005" cy="1547495"/>
                                </a:xfrm>
                                <a:prstGeom prst="rect">
                                  <a:avLst/>
                                </a:prstGeom>
                                <a:noFill/>
                                <a:ln>
                                  <a:noFill/>
                                </a:ln>
                              </pic:spPr>
                            </pic:pic>
                          </a:graphicData>
                        </a:graphic>
                      </wp:inline>
                    </w:drawing>
                  </w:r>
                </w:p>
              </w:tc>
              <w:tc>
                <w:tcPr>
                  <w:tcW w:w="6388" w:type="dxa"/>
                  <w:gridSpan w:val="2"/>
                  <w:noWrap w:val="0"/>
                  <w:vAlign w:val="center"/>
                </w:tcPr>
                <w:p>
                  <w:pPr>
                    <w:jc w:val="center"/>
                    <w:rPr>
                      <w:rFonts w:hint="default" w:ascii="Times New Roman" w:hAnsi="Times New Roman" w:eastAsia="宋体" w:cs="Times New Roman"/>
                      <w:color w:val="auto"/>
                    </w:rPr>
                  </w:pPr>
                  <w:r>
                    <w:rPr>
                      <w:rFonts w:hint="eastAsia" w:cs="Times New Roman"/>
                      <w:color w:val="auto"/>
                      <w:lang w:eastAsia="zh-CN"/>
                    </w:rPr>
                    <w:t>危险废物贮存设施横排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892" w:type="dxa"/>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4515" w:type="dxa"/>
                  <w:gridSpan w:val="2"/>
                  <w:noWrap w:val="0"/>
                  <w:vAlign w:val="center"/>
                </w:tcPr>
                <w:p>
                  <w:pPr>
                    <w:jc w:val="center"/>
                    <w:rPr>
                      <w:rFonts w:hint="default" w:ascii="Times New Roman" w:hAnsi="Times New Roman" w:eastAsia="宋体" w:cs="Times New Roman"/>
                      <w:color w:val="FF0000"/>
                    </w:rPr>
                  </w:pPr>
                  <w:r>
                    <w:rPr>
                      <w:color w:val="FF0000"/>
                    </w:rPr>
                    <w:drawing>
                      <wp:inline distT="0" distB="0" distL="114300" distR="114300">
                        <wp:extent cx="1115695" cy="1761490"/>
                        <wp:effectExtent l="0" t="0" r="8255" b="1016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6"/>
                                <a:stretch>
                                  <a:fillRect/>
                                </a:stretch>
                              </pic:blipFill>
                              <pic:spPr>
                                <a:xfrm>
                                  <a:off x="0" y="0"/>
                                  <a:ext cx="1115695" cy="1761490"/>
                                </a:xfrm>
                                <a:prstGeom prst="rect">
                                  <a:avLst/>
                                </a:prstGeom>
                                <a:noFill/>
                                <a:ln>
                                  <a:noFill/>
                                </a:ln>
                              </pic:spPr>
                            </pic:pic>
                          </a:graphicData>
                        </a:graphic>
                      </wp:inline>
                    </w:drawing>
                  </w:r>
                </w:p>
              </w:tc>
              <w:tc>
                <w:tcPr>
                  <w:tcW w:w="6388" w:type="dxa"/>
                  <w:gridSpan w:val="2"/>
                  <w:noWrap w:val="0"/>
                  <w:vAlign w:val="center"/>
                </w:tcPr>
                <w:p>
                  <w:pPr>
                    <w:jc w:val="center"/>
                    <w:rPr>
                      <w:rFonts w:hint="default" w:ascii="Times New Roman" w:hAnsi="Times New Roman" w:eastAsia="宋体" w:cs="Times New Roman"/>
                      <w:color w:val="auto"/>
                    </w:rPr>
                  </w:pPr>
                  <w:r>
                    <w:rPr>
                      <w:rFonts w:hint="eastAsia" w:cs="Times New Roman"/>
                      <w:color w:val="auto"/>
                      <w:lang w:eastAsia="zh-CN"/>
                    </w:rPr>
                    <w:t>危险废物贮存设施竖排</w:t>
                  </w:r>
                </w:p>
              </w:tc>
            </w:tr>
          </w:tbl>
          <w:p>
            <w:pPr>
              <w:adjustRightInd w:val="0"/>
              <w:snapToGrid w:val="0"/>
              <w:spacing w:line="360" w:lineRule="auto"/>
              <w:ind w:firstLine="482" w:firstLineChars="200"/>
              <w:rPr>
                <w:rFonts w:hint="default" w:ascii="Times New Roman" w:hAnsi="Times New Roman" w:eastAsia="宋体" w:cs="Times New Roman"/>
                <w:b/>
                <w:color w:val="auto"/>
                <w:sz w:val="24"/>
                <w:szCs w:val="24"/>
                <w:lang w:eastAsia="zh-CN"/>
              </w:rPr>
            </w:pPr>
          </w:p>
          <w:p>
            <w:pPr>
              <w:adjustRightInd w:val="0"/>
              <w:snapToGrid w:val="0"/>
              <w:spacing w:line="360" w:lineRule="auto"/>
              <w:ind w:firstLine="482" w:firstLineChars="200"/>
              <w:rPr>
                <w:rFonts w:hint="default" w:ascii="Times New Roman" w:hAnsi="Times New Roman" w:eastAsia="宋体" w:cs="Times New Roman"/>
                <w:b/>
                <w:color w:val="auto"/>
                <w:sz w:val="24"/>
                <w:szCs w:val="24"/>
                <w:lang w:eastAsia="zh-CN"/>
              </w:rPr>
            </w:pPr>
          </w:p>
          <w:p>
            <w:pPr>
              <w:pStyle w:val="34"/>
              <w:ind w:left="0" w:leftChars="0" w:firstLine="0" w:firstLineChars="0"/>
              <w:rPr>
                <w:rFonts w:hint="default"/>
                <w:lang w:eastAsia="zh-CN"/>
              </w:rPr>
            </w:pPr>
          </w:p>
          <w:p>
            <w:pPr>
              <w:adjustRightInd w:val="0"/>
              <w:snapToGrid w:val="0"/>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color w:val="auto"/>
                <w:sz w:val="24"/>
                <w:szCs w:val="24"/>
                <w:lang w:eastAsia="zh-CN"/>
              </w:rPr>
              <w:t>八</w:t>
            </w:r>
            <w:r>
              <w:rPr>
                <w:rFonts w:hint="default" w:ascii="Times New Roman" w:hAnsi="Times New Roman" w:eastAsia="宋体" w:cs="Times New Roman"/>
                <w:b/>
                <w:color w:val="auto"/>
                <w:sz w:val="24"/>
                <w:szCs w:val="24"/>
              </w:rPr>
              <w:t>、环保投资</w:t>
            </w:r>
          </w:p>
          <w:p>
            <w:pPr>
              <w:adjustRightInd w:val="0"/>
              <w:snapToGrid w:val="0"/>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rPr>
              <w:t>表4</w:t>
            </w:r>
            <w:r>
              <w:rPr>
                <w:rFonts w:hint="eastAsia" w:ascii="Times New Roman" w:hAnsi="Times New Roman" w:eastAsia="宋体" w:cs="Times New Roman"/>
                <w:b/>
                <w:bCs/>
                <w:color w:val="auto"/>
                <w:lang w:val="en-US" w:eastAsia="zh-CN"/>
              </w:rPr>
              <w:t xml:space="preserve">-19 </w:t>
            </w:r>
            <w:r>
              <w:rPr>
                <w:rFonts w:hint="default" w:ascii="Times New Roman" w:hAnsi="Times New Roman" w:eastAsia="宋体" w:cs="Times New Roman"/>
                <w:b/>
                <w:bCs/>
                <w:color w:val="auto"/>
                <w:lang w:eastAsia="zh-CN"/>
              </w:rPr>
              <w:t>环境保护“三同时”验收及环保投资</w:t>
            </w:r>
            <w:r>
              <w:rPr>
                <w:rFonts w:hint="default" w:ascii="Times New Roman" w:hAnsi="Times New Roman" w:eastAsia="宋体" w:cs="Times New Roman"/>
                <w:b/>
                <w:bCs/>
                <w:color w:val="auto"/>
              </w:rPr>
              <w:t>一览</w:t>
            </w:r>
            <w:r>
              <w:rPr>
                <w:rFonts w:hint="default" w:ascii="Times New Roman" w:hAnsi="Times New Roman" w:eastAsia="宋体" w:cs="Times New Roman"/>
                <w:b/>
                <w:bCs/>
                <w:color w:val="auto"/>
                <w:lang w:eastAsia="zh-CN"/>
              </w:rPr>
              <w:t>表</w:t>
            </w:r>
          </w:p>
          <w:tbl>
            <w:tblPr>
              <w:tblStyle w:val="58"/>
              <w:tblW w:w="11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6627"/>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074"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eastAsia="zh-CN"/>
                    </w:rPr>
                  </w:pPr>
                  <w:r>
                    <w:rPr>
                      <w:rFonts w:hint="default" w:ascii="Times New Roman" w:hAnsi="Times New Roman" w:eastAsia="宋体" w:cs="Times New Roman"/>
                      <w:color w:val="FF0000"/>
                      <w:sz w:val="21"/>
                      <w:szCs w:val="21"/>
                      <w:vertAlign w:val="baseline"/>
                      <w:lang w:eastAsia="zh-CN"/>
                    </w:rPr>
                    <w:t>污染物种类</w:t>
                  </w:r>
                </w:p>
              </w:tc>
              <w:tc>
                <w:tcPr>
                  <w:tcW w:w="6627"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eastAsia="zh-CN"/>
                    </w:rPr>
                  </w:pPr>
                  <w:r>
                    <w:rPr>
                      <w:rFonts w:hint="default" w:ascii="Times New Roman" w:hAnsi="Times New Roman" w:eastAsia="宋体" w:cs="Times New Roman"/>
                      <w:color w:val="FF0000"/>
                      <w:sz w:val="21"/>
                      <w:szCs w:val="21"/>
                      <w:vertAlign w:val="baseline"/>
                      <w:lang w:eastAsia="zh-CN"/>
                    </w:rPr>
                    <w:t>检测</w:t>
                  </w:r>
                  <w:r>
                    <w:rPr>
                      <w:rFonts w:hint="default" w:ascii="Times New Roman" w:hAnsi="Times New Roman" w:eastAsia="宋体" w:cs="Times New Roman"/>
                      <w:color w:val="FF0000"/>
                      <w:sz w:val="21"/>
                      <w:szCs w:val="21"/>
                      <w:vertAlign w:val="baseline"/>
                      <w:lang w:val="en-US" w:eastAsia="zh-CN"/>
                    </w:rPr>
                    <w:t>/检查地点</w:t>
                  </w:r>
                </w:p>
              </w:tc>
              <w:tc>
                <w:tcPr>
                  <w:tcW w:w="2181"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eastAsia="zh-CN"/>
                    </w:rPr>
                    <w:t>环保投资费用（万元）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074" w:type="dxa"/>
                  <w:vAlign w:val="center"/>
                </w:tcPr>
                <w:p>
                  <w:pPr>
                    <w:pStyle w:val="620"/>
                    <w:spacing w:line="240" w:lineRule="auto"/>
                    <w:ind w:left="0" w:leftChars="0" w:firstLine="0" w:firstLineChars="0"/>
                    <w:jc w:val="center"/>
                    <w:rPr>
                      <w:rFonts w:hint="default" w:cs="Times New Roman"/>
                      <w:color w:val="FF0000"/>
                      <w:sz w:val="21"/>
                      <w:szCs w:val="21"/>
                      <w:vertAlign w:val="baseline"/>
                      <w:lang w:val="en-US" w:eastAsia="zh-CN"/>
                    </w:rPr>
                  </w:pPr>
                  <w:r>
                    <w:rPr>
                      <w:rFonts w:hint="eastAsia" w:cs="Times New Roman"/>
                      <w:color w:val="FF0000"/>
                      <w:sz w:val="21"/>
                      <w:szCs w:val="21"/>
                      <w:vertAlign w:val="baseline"/>
                      <w:lang w:eastAsia="zh-CN"/>
                    </w:rPr>
                    <w:t>投料粉尘</w:t>
                  </w:r>
                  <w:r>
                    <w:rPr>
                      <w:rFonts w:hint="eastAsia" w:cs="Times New Roman"/>
                      <w:color w:val="FF0000"/>
                      <w:sz w:val="21"/>
                      <w:szCs w:val="21"/>
                      <w:vertAlign w:val="baseline"/>
                      <w:lang w:val="en-US" w:eastAsia="zh-CN"/>
                    </w:rPr>
                    <w:t>+破碎粉尘+研磨粉尘+打包粉尘</w:t>
                  </w:r>
                </w:p>
              </w:tc>
              <w:tc>
                <w:tcPr>
                  <w:tcW w:w="6627"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kern w:val="0"/>
                      <w:sz w:val="21"/>
                      <w:szCs w:val="21"/>
                    </w:rPr>
                  </w:pPr>
                  <w:r>
                    <w:rPr>
                      <w:rFonts w:hint="eastAsia" w:cs="Times New Roman"/>
                      <w:color w:val="FF0000"/>
                      <w:sz w:val="21"/>
                      <w:szCs w:val="21"/>
                      <w:vertAlign w:val="baseline"/>
                      <w:lang w:val="en-US" w:eastAsia="zh-CN"/>
                    </w:rPr>
                    <w:t>DA001排气筒</w:t>
                  </w:r>
                </w:p>
              </w:tc>
              <w:tc>
                <w:tcPr>
                  <w:tcW w:w="2181" w:type="dxa"/>
                  <w:vAlign w:val="center"/>
                </w:tcPr>
                <w:p>
                  <w:pPr>
                    <w:pStyle w:val="620"/>
                    <w:spacing w:line="240" w:lineRule="auto"/>
                    <w:ind w:left="0" w:leftChars="0" w:firstLine="0" w:firstLineChars="0"/>
                    <w:jc w:val="center"/>
                    <w:rPr>
                      <w:rFonts w:hint="default" w:cs="Times New Roman"/>
                      <w:color w:val="FF0000"/>
                      <w:sz w:val="21"/>
                      <w:szCs w:val="21"/>
                      <w:vertAlign w:val="baseline"/>
                      <w:lang w:val="en-US" w:eastAsia="zh-CN"/>
                    </w:rPr>
                  </w:pPr>
                  <w:r>
                    <w:rPr>
                      <w:rFonts w:hint="eastAsia" w:cs="Times New Roman"/>
                      <w:color w:val="FF0000"/>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074" w:type="dxa"/>
                  <w:vAlign w:val="center"/>
                </w:tcPr>
                <w:p>
                  <w:pPr>
                    <w:pStyle w:val="620"/>
                    <w:spacing w:line="240" w:lineRule="auto"/>
                    <w:ind w:left="0" w:leftChars="0" w:firstLine="0" w:firstLineChars="0"/>
                    <w:jc w:val="center"/>
                    <w:rPr>
                      <w:rFonts w:hint="eastAsia" w:ascii="Times New Roman" w:hAnsi="Times New Roman" w:eastAsia="宋体" w:cs="Times New Roman"/>
                      <w:color w:val="FF0000"/>
                      <w:kern w:val="0"/>
                      <w:sz w:val="21"/>
                      <w:szCs w:val="21"/>
                      <w:lang w:val="en-US" w:eastAsia="zh-CN"/>
                    </w:rPr>
                  </w:pPr>
                  <w:r>
                    <w:rPr>
                      <w:rFonts w:hint="eastAsia" w:ascii="Times New Roman" w:hAnsi="Times New Roman" w:eastAsia="宋体" w:cs="Times New Roman"/>
                      <w:color w:val="FF0000"/>
                      <w:kern w:val="0"/>
                      <w:sz w:val="21"/>
                      <w:szCs w:val="21"/>
                      <w:lang w:val="en-US" w:eastAsia="zh-CN"/>
                    </w:rPr>
                    <w:t>食堂油烟</w:t>
                  </w:r>
                </w:p>
              </w:tc>
              <w:tc>
                <w:tcPr>
                  <w:tcW w:w="6627"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kern w:val="0"/>
                      <w:sz w:val="21"/>
                      <w:szCs w:val="21"/>
                      <w:lang w:val="en-US" w:eastAsia="zh-CN"/>
                    </w:rPr>
                  </w:pPr>
                  <w:r>
                    <w:rPr>
                      <w:rFonts w:hint="eastAsia" w:ascii="Times New Roman" w:hAnsi="Times New Roman" w:eastAsia="宋体" w:cs="Times New Roman"/>
                      <w:color w:val="FF0000"/>
                      <w:kern w:val="0"/>
                      <w:sz w:val="21"/>
                      <w:szCs w:val="21"/>
                      <w:lang w:val="en-US" w:eastAsia="zh-CN"/>
                    </w:rPr>
                    <w:t>油烟排口</w:t>
                  </w:r>
                </w:p>
              </w:tc>
              <w:tc>
                <w:tcPr>
                  <w:tcW w:w="2181" w:type="dxa"/>
                  <w:vAlign w:val="center"/>
                </w:tcPr>
                <w:p>
                  <w:pPr>
                    <w:pStyle w:val="620"/>
                    <w:spacing w:line="240" w:lineRule="auto"/>
                    <w:ind w:left="0" w:leftChars="0" w:firstLine="0" w:firstLineChars="0"/>
                    <w:jc w:val="center"/>
                    <w:rPr>
                      <w:rFonts w:hint="default" w:cs="Times New Roman"/>
                      <w:color w:val="FF0000"/>
                      <w:sz w:val="21"/>
                      <w:szCs w:val="21"/>
                      <w:vertAlign w:val="baseline"/>
                      <w:lang w:val="en-US" w:eastAsia="zh-CN"/>
                    </w:rPr>
                  </w:pPr>
                  <w:r>
                    <w:rPr>
                      <w:rFonts w:hint="eastAsia" w:cs="Times New Roman"/>
                      <w:color w:val="FF0000"/>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074"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eastAsia="zh-CN"/>
                    </w:rPr>
                  </w:pPr>
                  <w:r>
                    <w:rPr>
                      <w:rFonts w:hint="default" w:ascii="Times New Roman" w:hAnsi="Times New Roman" w:eastAsia="宋体" w:cs="Times New Roman"/>
                      <w:color w:val="FF0000"/>
                      <w:sz w:val="21"/>
                      <w:szCs w:val="21"/>
                      <w:vertAlign w:val="baseline"/>
                      <w:lang w:eastAsia="zh-CN"/>
                    </w:rPr>
                    <w:t>生活污水</w:t>
                  </w:r>
                </w:p>
              </w:tc>
              <w:tc>
                <w:tcPr>
                  <w:tcW w:w="6627"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vertAlign w:val="baseline"/>
                      <w:lang w:eastAsia="zh-CN"/>
                    </w:rPr>
                    <w:t>生活污水排口</w:t>
                  </w:r>
                </w:p>
              </w:tc>
              <w:tc>
                <w:tcPr>
                  <w:tcW w:w="2181"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074"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vertAlign w:val="baseline"/>
                      <w:lang w:val="en-US" w:eastAsia="zh-CN"/>
                    </w:rPr>
                    <w:t>车辆冲洗水</w:t>
                  </w:r>
                </w:p>
              </w:tc>
              <w:tc>
                <w:tcPr>
                  <w:tcW w:w="6627" w:type="dxa"/>
                  <w:vAlign w:val="center"/>
                </w:tcPr>
                <w:p>
                  <w:pPr>
                    <w:pStyle w:val="620"/>
                    <w:spacing w:line="240" w:lineRule="auto"/>
                    <w:ind w:left="0" w:leftChars="0" w:firstLine="0" w:firstLineChars="0"/>
                    <w:jc w:val="center"/>
                    <w:rPr>
                      <w:rFonts w:hint="default" w:cs="Times New Roman"/>
                      <w:color w:val="FF0000"/>
                      <w:sz w:val="21"/>
                      <w:szCs w:val="21"/>
                      <w:vertAlign w:val="baseline"/>
                      <w:lang w:val="en-US" w:eastAsia="zh-CN"/>
                    </w:rPr>
                  </w:pPr>
                  <w:r>
                    <w:rPr>
                      <w:rFonts w:hint="eastAsia" w:cs="Times New Roman"/>
                      <w:color w:val="FF0000"/>
                      <w:sz w:val="21"/>
                      <w:szCs w:val="21"/>
                      <w:vertAlign w:val="baseline"/>
                      <w:lang w:val="en-US" w:eastAsia="zh-CN"/>
                    </w:rPr>
                    <w:t>洗车池旁沉淀池</w:t>
                  </w:r>
                </w:p>
              </w:tc>
              <w:tc>
                <w:tcPr>
                  <w:tcW w:w="2181" w:type="dxa"/>
                  <w:vAlign w:val="center"/>
                </w:tcPr>
                <w:p>
                  <w:pPr>
                    <w:pStyle w:val="620"/>
                    <w:spacing w:line="240" w:lineRule="auto"/>
                    <w:ind w:left="0" w:leftChars="0" w:firstLine="0" w:firstLineChars="0"/>
                    <w:jc w:val="center"/>
                    <w:rPr>
                      <w:rFonts w:hint="default" w:cs="Times New Roman"/>
                      <w:color w:val="FF0000"/>
                      <w:sz w:val="21"/>
                      <w:szCs w:val="21"/>
                      <w:vertAlign w:val="baseline"/>
                      <w:lang w:val="en-US" w:eastAsia="zh-CN"/>
                    </w:rPr>
                  </w:pPr>
                  <w:r>
                    <w:rPr>
                      <w:rFonts w:hint="eastAsia" w:cs="Times New Roman"/>
                      <w:color w:val="FF0000"/>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074" w:type="dxa"/>
                  <w:vAlign w:val="center"/>
                </w:tcPr>
                <w:p>
                  <w:pPr>
                    <w:pStyle w:val="620"/>
                    <w:spacing w:line="240" w:lineRule="auto"/>
                    <w:ind w:left="0" w:leftChars="0" w:firstLine="0" w:firstLineChars="0"/>
                    <w:jc w:val="center"/>
                    <w:rPr>
                      <w:rFonts w:hint="eastAsia" w:cs="Times New Roman"/>
                      <w:color w:val="FF0000"/>
                      <w:sz w:val="21"/>
                      <w:szCs w:val="21"/>
                      <w:vertAlign w:val="baseline"/>
                      <w:lang w:val="en-US" w:eastAsia="zh-CN"/>
                    </w:rPr>
                  </w:pPr>
                  <w:r>
                    <w:rPr>
                      <w:rFonts w:hint="eastAsia" w:cs="Times New Roman"/>
                      <w:color w:val="FF0000"/>
                      <w:sz w:val="21"/>
                      <w:szCs w:val="21"/>
                      <w:vertAlign w:val="baseline"/>
                      <w:lang w:val="en-US" w:eastAsia="zh-CN"/>
                    </w:rPr>
                    <w:t>初期雨水</w:t>
                  </w:r>
                </w:p>
              </w:tc>
              <w:tc>
                <w:tcPr>
                  <w:tcW w:w="6627" w:type="dxa"/>
                  <w:vAlign w:val="center"/>
                </w:tcPr>
                <w:p>
                  <w:pPr>
                    <w:pStyle w:val="620"/>
                    <w:spacing w:line="240" w:lineRule="auto"/>
                    <w:ind w:left="0" w:leftChars="0" w:firstLine="0" w:firstLineChars="0"/>
                    <w:jc w:val="center"/>
                    <w:rPr>
                      <w:rFonts w:hint="eastAsia" w:cs="Times New Roman"/>
                      <w:color w:val="FF0000"/>
                      <w:sz w:val="21"/>
                      <w:szCs w:val="21"/>
                      <w:vertAlign w:val="baseline"/>
                      <w:lang w:val="en-US" w:eastAsia="zh-CN"/>
                    </w:rPr>
                  </w:pPr>
                  <w:r>
                    <w:rPr>
                      <w:rFonts w:hint="eastAsia" w:cs="Times New Roman"/>
                      <w:color w:val="FF0000"/>
                      <w:sz w:val="21"/>
                      <w:szCs w:val="21"/>
                      <w:vertAlign w:val="baseline"/>
                      <w:lang w:val="en-US" w:eastAsia="zh-CN"/>
                    </w:rPr>
                    <w:t>初期雨水池</w:t>
                  </w:r>
                </w:p>
              </w:tc>
              <w:tc>
                <w:tcPr>
                  <w:tcW w:w="2181" w:type="dxa"/>
                  <w:vAlign w:val="center"/>
                </w:tcPr>
                <w:p>
                  <w:pPr>
                    <w:pStyle w:val="620"/>
                    <w:spacing w:line="240" w:lineRule="auto"/>
                    <w:ind w:left="0" w:leftChars="0" w:firstLine="0" w:firstLineChars="0"/>
                    <w:jc w:val="center"/>
                    <w:rPr>
                      <w:rFonts w:hint="default" w:cs="Times New Roman"/>
                      <w:color w:val="FF0000"/>
                      <w:sz w:val="21"/>
                      <w:szCs w:val="21"/>
                      <w:vertAlign w:val="baseline"/>
                      <w:lang w:val="en-US" w:eastAsia="zh-CN"/>
                    </w:rPr>
                  </w:pPr>
                  <w:r>
                    <w:rPr>
                      <w:rFonts w:hint="eastAsia" w:cs="Times New Roman"/>
                      <w:color w:val="FF0000"/>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074"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eastAsia="zh-CN"/>
                    </w:rPr>
                  </w:pPr>
                  <w:r>
                    <w:rPr>
                      <w:rFonts w:hint="default" w:ascii="Times New Roman" w:hAnsi="Times New Roman" w:eastAsia="宋体" w:cs="Times New Roman"/>
                      <w:color w:val="FF0000"/>
                      <w:sz w:val="21"/>
                      <w:szCs w:val="21"/>
                      <w:vertAlign w:val="baseline"/>
                      <w:lang w:eastAsia="zh-CN"/>
                    </w:rPr>
                    <w:t>噪声</w:t>
                  </w:r>
                </w:p>
              </w:tc>
              <w:tc>
                <w:tcPr>
                  <w:tcW w:w="6627" w:type="dxa"/>
                  <w:vAlign w:val="center"/>
                </w:tcPr>
                <w:p>
                  <w:pPr>
                    <w:spacing w:line="240" w:lineRule="auto"/>
                    <w:jc w:val="center"/>
                    <w:rPr>
                      <w:rFonts w:hint="default" w:ascii="Times New Roman" w:hAnsi="Times New Roman" w:eastAsia="宋体" w:cs="Times New Roman"/>
                      <w:color w:val="FF0000"/>
                      <w:kern w:val="0"/>
                      <w:sz w:val="21"/>
                      <w:szCs w:val="21"/>
                      <w:vertAlign w:val="baseline"/>
                      <w:lang w:val="en-US" w:eastAsia="zh-CN" w:bidi="ar-SA"/>
                    </w:rPr>
                  </w:pPr>
                  <w:r>
                    <w:rPr>
                      <w:rFonts w:hint="default" w:ascii="Times New Roman" w:hAnsi="Times New Roman" w:eastAsia="宋体" w:cs="Times New Roman"/>
                      <w:color w:val="FF0000"/>
                      <w:sz w:val="21"/>
                      <w:szCs w:val="21"/>
                      <w:vertAlign w:val="baseline"/>
                      <w:lang w:eastAsia="zh-CN"/>
                    </w:rPr>
                    <w:t>生产车间</w:t>
                  </w:r>
                </w:p>
              </w:tc>
              <w:tc>
                <w:tcPr>
                  <w:tcW w:w="2181" w:type="dxa"/>
                  <w:vAlign w:val="center"/>
                </w:tcPr>
                <w:p>
                  <w:pPr>
                    <w:spacing w:line="240" w:lineRule="auto"/>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74"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eastAsia="zh-CN"/>
                    </w:rPr>
                  </w:pPr>
                  <w:r>
                    <w:rPr>
                      <w:rFonts w:hint="default" w:ascii="Times New Roman" w:hAnsi="Times New Roman" w:eastAsia="宋体" w:cs="Times New Roman"/>
                      <w:color w:val="FF0000"/>
                      <w:sz w:val="21"/>
                      <w:szCs w:val="21"/>
                      <w:vertAlign w:val="baseline"/>
                      <w:lang w:eastAsia="zh-CN"/>
                    </w:rPr>
                    <w:t>固废</w:t>
                  </w:r>
                </w:p>
              </w:tc>
              <w:tc>
                <w:tcPr>
                  <w:tcW w:w="6627"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eastAsia="zh-CN"/>
                    </w:rPr>
                  </w:pPr>
                  <w:r>
                    <w:rPr>
                      <w:rFonts w:hint="default" w:ascii="Times New Roman" w:hAnsi="Times New Roman" w:eastAsia="宋体" w:cs="Times New Roman"/>
                      <w:color w:val="FF0000"/>
                      <w:sz w:val="21"/>
                      <w:szCs w:val="21"/>
                    </w:rPr>
                    <w:t>一般固废间</w:t>
                  </w:r>
                  <w:r>
                    <w:rPr>
                      <w:rFonts w:hint="eastAsia" w:cs="Times New Roman"/>
                      <w:color w:val="FF0000"/>
                      <w:sz w:val="21"/>
                      <w:szCs w:val="21"/>
                      <w:lang w:eastAsia="zh-CN"/>
                    </w:rPr>
                    <w:t>、危废间、原</w:t>
                  </w:r>
                  <w:r>
                    <w:rPr>
                      <w:rFonts w:hint="default" w:ascii="Times New Roman" w:hAnsi="Times New Roman" w:eastAsia="宋体" w:cs="Times New Roman"/>
                      <w:color w:val="FF0000"/>
                      <w:sz w:val="21"/>
                      <w:szCs w:val="21"/>
                      <w:lang w:eastAsia="zh-CN"/>
                    </w:rPr>
                    <w:t>辅料存放间</w:t>
                  </w:r>
                  <w:r>
                    <w:rPr>
                      <w:rFonts w:hint="eastAsia" w:cs="Times New Roman"/>
                      <w:color w:val="FF0000"/>
                      <w:sz w:val="21"/>
                      <w:szCs w:val="21"/>
                      <w:lang w:eastAsia="zh-CN"/>
                    </w:rPr>
                    <w:t>、厂区地面</w:t>
                  </w:r>
                  <w:r>
                    <w:rPr>
                      <w:rFonts w:hint="default" w:ascii="Times New Roman" w:hAnsi="Times New Roman" w:eastAsia="宋体" w:cs="Times New Roman"/>
                      <w:color w:val="FF0000"/>
                      <w:sz w:val="21"/>
                      <w:szCs w:val="21"/>
                      <w:lang w:eastAsia="zh-CN"/>
                    </w:rPr>
                    <w:t>等做好防渗、防漏处理</w:t>
                  </w:r>
                </w:p>
              </w:tc>
              <w:tc>
                <w:tcPr>
                  <w:tcW w:w="2181"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701" w:type="dxa"/>
                  <w:gridSpan w:val="2"/>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eastAsia="zh-CN"/>
                    </w:rPr>
                  </w:pPr>
                  <w:r>
                    <w:rPr>
                      <w:rFonts w:hint="default" w:ascii="Times New Roman" w:hAnsi="Times New Roman" w:eastAsia="宋体" w:cs="Times New Roman"/>
                      <w:color w:val="FF0000"/>
                      <w:sz w:val="21"/>
                      <w:szCs w:val="21"/>
                      <w:vertAlign w:val="baseline"/>
                      <w:lang w:eastAsia="zh-CN"/>
                    </w:rPr>
                    <w:t>总计</w:t>
                  </w:r>
                </w:p>
              </w:tc>
              <w:tc>
                <w:tcPr>
                  <w:tcW w:w="2181" w:type="dxa"/>
                  <w:vAlign w:val="center"/>
                </w:tcPr>
                <w:p>
                  <w:pPr>
                    <w:pStyle w:val="620"/>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vertAlign w:val="baseline"/>
                      <w:lang w:val="en-US" w:eastAsia="zh-CN"/>
                    </w:rPr>
                    <w:t>42.5</w:t>
                  </w:r>
                </w:p>
              </w:tc>
            </w:tr>
          </w:tbl>
          <w:p>
            <w:pPr>
              <w:pStyle w:val="620"/>
              <w:ind w:firstLine="480"/>
              <w:rPr>
                <w:rFonts w:hint="default" w:ascii="Times New Roman" w:hAnsi="Times New Roman" w:eastAsia="宋体" w:cs="Times New Roman"/>
                <w:color w:val="FF0000"/>
              </w:rPr>
            </w:pPr>
          </w:p>
        </w:tc>
      </w:tr>
    </w:tbl>
    <w:p>
      <w:pPr>
        <w:adjustRightInd w:val="0"/>
        <w:snapToGrid w:val="0"/>
        <w:jc w:val="center"/>
        <w:rPr>
          <w:rFonts w:hint="default" w:ascii="Times New Roman" w:hAnsi="Times New Roman" w:eastAsia="宋体" w:cs="Times New Roman"/>
          <w:bCs/>
          <w:color w:val="FF0000"/>
          <w:sz w:val="24"/>
          <w:szCs w:val="24"/>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286" w:charSpace="0"/>
        </w:sectPr>
      </w:pPr>
    </w:p>
    <w:p>
      <w:pPr>
        <w:pStyle w:val="2"/>
        <w:spacing w:line="360" w:lineRule="auto"/>
        <w:jc w:val="center"/>
        <w:rPr>
          <w:rFonts w:hint="default" w:ascii="Times New Roman" w:hAnsi="Times New Roman" w:eastAsia="宋体" w:cs="Times New Roman"/>
          <w:b w:val="0"/>
          <w:bCs/>
          <w:snapToGrid w:val="0"/>
          <w:color w:val="auto"/>
          <w:kern w:val="0"/>
          <w:sz w:val="30"/>
          <w:szCs w:val="30"/>
        </w:rPr>
      </w:pPr>
      <w:bookmarkStart w:id="12" w:name="_Toc8066"/>
      <w:r>
        <w:rPr>
          <w:rFonts w:hint="default" w:ascii="Times New Roman" w:hAnsi="Times New Roman" w:eastAsia="宋体" w:cs="Times New Roman"/>
          <w:b w:val="0"/>
          <w:bCs/>
          <w:snapToGrid w:val="0"/>
          <w:color w:val="auto"/>
          <w:sz w:val="30"/>
          <w:szCs w:val="30"/>
        </w:rPr>
        <w:t>五、</w:t>
      </w:r>
      <w:bookmarkStart w:id="13" w:name="_Hlk54167917"/>
      <w:r>
        <w:rPr>
          <w:rFonts w:hint="default" w:ascii="Times New Roman" w:hAnsi="Times New Roman" w:eastAsia="宋体" w:cs="Times New Roman"/>
          <w:b w:val="0"/>
          <w:bCs/>
          <w:snapToGrid w:val="0"/>
          <w:color w:val="auto"/>
          <w:sz w:val="30"/>
          <w:szCs w:val="30"/>
        </w:rPr>
        <w:t>环境保护措施监督检查清单</w:t>
      </w:r>
      <w:bookmarkEnd w:id="12"/>
      <w:bookmarkEnd w:id="13"/>
    </w:p>
    <w:tbl>
      <w:tblPr>
        <w:tblStyle w:val="5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341"/>
        <w:gridCol w:w="1844"/>
        <w:gridCol w:w="2147"/>
        <w:gridCol w:w="26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tcBorders>
              <w:top w:val="single" w:color="auto" w:sz="8" w:space="0"/>
              <w:left w:val="single" w:color="auto" w:sz="8" w:space="0"/>
              <w:bottom w:val="single" w:color="auto" w:sz="4" w:space="0"/>
              <w:right w:val="single" w:color="auto" w:sz="4" w:space="0"/>
              <w:tl2br w:val="single" w:color="auto" w:sz="4" w:space="0"/>
            </w:tcBorders>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341"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编号、名称</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/污染源</w:t>
            </w:r>
          </w:p>
        </w:tc>
        <w:tc>
          <w:tcPr>
            <w:tcW w:w="184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2147"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2655"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13" w:type="dxa"/>
            <w:vMerge w:val="restart"/>
            <w:tcBorders>
              <w:left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大气环境</w:t>
            </w:r>
          </w:p>
        </w:tc>
        <w:tc>
          <w:tcPr>
            <w:tcW w:w="1341" w:type="dxa"/>
            <w:tcBorders>
              <w:top w:val="single" w:color="auto" w:sz="4" w:space="0"/>
              <w:left w:val="single" w:color="auto" w:sz="4" w:space="0"/>
              <w:right w:val="single" w:color="auto" w:sz="4" w:space="0"/>
            </w:tcBorders>
            <w:vAlign w:val="center"/>
          </w:tcPr>
          <w:p>
            <w:pPr>
              <w:spacing w:line="260" w:lineRule="exact"/>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DA001投料粉尘+破碎粉尘+</w:t>
            </w:r>
            <w:r>
              <w:rPr>
                <w:rFonts w:hint="eastAsia" w:ascii="Times New Roman" w:hAnsi="Times New Roman" w:eastAsia="宋体" w:cs="Times New Roman"/>
                <w:color w:val="FF0000"/>
                <w:sz w:val="24"/>
                <w:szCs w:val="24"/>
                <w:lang w:val="en-US" w:eastAsia="zh-CN"/>
              </w:rPr>
              <w:t>研磨粉尘+</w:t>
            </w:r>
            <w:r>
              <w:rPr>
                <w:rFonts w:hint="eastAsia" w:ascii="Times New Roman" w:hAnsi="Times New Roman" w:eastAsia="宋体" w:cs="Times New Roman"/>
                <w:color w:val="auto"/>
                <w:sz w:val="24"/>
                <w:szCs w:val="24"/>
                <w:lang w:val="en-US" w:eastAsia="zh-CN"/>
              </w:rPr>
              <w:t>打包粉尘</w:t>
            </w:r>
          </w:p>
        </w:tc>
        <w:tc>
          <w:tcPr>
            <w:tcW w:w="1844" w:type="dxa"/>
            <w:tcBorders>
              <w:top w:val="single" w:color="auto" w:sz="4" w:space="0"/>
              <w:left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颗粒物、氟化物</w:t>
            </w:r>
          </w:p>
        </w:tc>
        <w:tc>
          <w:tcPr>
            <w:tcW w:w="2147" w:type="dxa"/>
            <w:tcBorders>
              <w:top w:val="single" w:color="auto" w:sz="4" w:space="0"/>
              <w:left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FF0000"/>
                <w:sz w:val="24"/>
                <w:szCs w:val="24"/>
                <w:lang w:val="en-US" w:eastAsia="zh-CN"/>
              </w:rPr>
              <w:t>负压收集（密闭收集）+布袋除尘（脉冲除尘）+15</w:t>
            </w:r>
            <w:r>
              <w:rPr>
                <w:rFonts w:hint="default" w:ascii="Times New Roman" w:hAnsi="Times New Roman" w:eastAsia="宋体" w:cs="Times New Roman"/>
                <w:color w:val="FF0000"/>
                <w:sz w:val="24"/>
                <w:szCs w:val="24"/>
                <w:lang w:val="en-US" w:eastAsia="zh-CN"/>
              </w:rPr>
              <w:t>m高排气筒排放</w:t>
            </w:r>
            <w:r>
              <w:rPr>
                <w:rFonts w:hint="eastAsia" w:ascii="Times New Roman" w:hAnsi="Times New Roman" w:eastAsia="宋体" w:cs="Times New Roman"/>
                <w:color w:val="FF0000"/>
                <w:sz w:val="24"/>
                <w:szCs w:val="24"/>
                <w:lang w:val="en-US" w:eastAsia="zh-CN"/>
              </w:rPr>
              <w:t>（风量40000m</w:t>
            </w:r>
            <w:r>
              <w:rPr>
                <w:rFonts w:hint="eastAsia" w:ascii="Times New Roman" w:hAnsi="Times New Roman" w:eastAsia="宋体" w:cs="Times New Roman"/>
                <w:color w:val="FF0000"/>
                <w:sz w:val="24"/>
                <w:szCs w:val="24"/>
                <w:vertAlign w:val="superscript"/>
                <w:lang w:val="en-US" w:eastAsia="zh-CN"/>
              </w:rPr>
              <w:t>3</w:t>
            </w:r>
            <w:r>
              <w:rPr>
                <w:rFonts w:hint="eastAsia" w:ascii="Times New Roman" w:hAnsi="Times New Roman" w:eastAsia="宋体" w:cs="Times New Roman"/>
                <w:color w:val="FF0000"/>
                <w:sz w:val="24"/>
                <w:szCs w:val="24"/>
                <w:lang w:val="en-US" w:eastAsia="zh-CN"/>
              </w:rPr>
              <w:t>/h）</w:t>
            </w:r>
          </w:p>
        </w:tc>
        <w:tc>
          <w:tcPr>
            <w:tcW w:w="2655" w:type="dxa"/>
            <w:tcBorders>
              <w:top w:val="single" w:color="auto" w:sz="4" w:space="0"/>
              <w:left w:val="single" w:color="auto" w:sz="4" w:space="0"/>
              <w:right w:val="single" w:color="auto" w:sz="8"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《大气污染物综合排放标准》（GB16297-1996）表2中颗粒物排放监控浓度限值及氟化物（其他）标准限值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13" w:type="dxa"/>
            <w:vMerge w:val="continue"/>
            <w:tcBorders>
              <w:left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4"/>
                <w:szCs w:val="24"/>
                <w:lang w:eastAsia="zh-CN"/>
              </w:rPr>
            </w:pPr>
          </w:p>
        </w:tc>
        <w:tc>
          <w:tcPr>
            <w:tcW w:w="1341" w:type="dxa"/>
            <w:tcBorders>
              <w:top w:val="single" w:color="auto" w:sz="4" w:space="0"/>
              <w:left w:val="single" w:color="auto" w:sz="4" w:space="0"/>
              <w:right w:val="single" w:color="auto" w:sz="4" w:space="0"/>
            </w:tcBorders>
            <w:vAlign w:val="center"/>
          </w:tcPr>
          <w:p>
            <w:pPr>
              <w:spacing w:line="260" w:lineRule="exact"/>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厂界</w:t>
            </w:r>
          </w:p>
        </w:tc>
        <w:tc>
          <w:tcPr>
            <w:tcW w:w="1844" w:type="dxa"/>
            <w:tcBorders>
              <w:top w:val="single" w:color="auto" w:sz="4" w:space="0"/>
              <w:left w:val="single" w:color="auto" w:sz="4" w:space="0"/>
              <w:right w:val="single" w:color="auto" w:sz="4" w:space="0"/>
            </w:tcBorders>
            <w:vAlign w:val="center"/>
          </w:tcPr>
          <w:p>
            <w:pPr>
              <w:spacing w:line="260" w:lineRule="exact"/>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颗粒物、氟化物</w:t>
            </w:r>
          </w:p>
        </w:tc>
        <w:tc>
          <w:tcPr>
            <w:tcW w:w="2147" w:type="dxa"/>
            <w:tcBorders>
              <w:top w:val="single" w:color="auto" w:sz="4" w:space="0"/>
              <w:left w:val="single" w:color="auto" w:sz="4" w:space="0"/>
              <w:right w:val="single" w:color="auto" w:sz="4" w:space="0"/>
            </w:tcBorders>
            <w:vAlign w:val="center"/>
          </w:tcPr>
          <w:p>
            <w:pPr>
              <w:spacing w:line="260" w:lineRule="exact"/>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加强车间通换风</w:t>
            </w:r>
          </w:p>
        </w:tc>
        <w:tc>
          <w:tcPr>
            <w:tcW w:w="2655" w:type="dxa"/>
            <w:tcBorders>
              <w:top w:val="single" w:color="auto" w:sz="4" w:space="0"/>
              <w:left w:val="single" w:color="auto" w:sz="4" w:space="0"/>
              <w:right w:val="single" w:color="auto" w:sz="8" w:space="0"/>
            </w:tcBorders>
            <w:vAlign w:val="center"/>
          </w:tcPr>
          <w:p>
            <w:pPr>
              <w:spacing w:line="260" w:lineRule="exact"/>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《大气污染物综合排放标准》（GB16297-1996）中表2无组织排放监控浓度限值。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13" w:type="dxa"/>
            <w:vMerge w:val="continue"/>
            <w:tcBorders>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rPr>
            </w:pPr>
          </w:p>
        </w:tc>
        <w:tc>
          <w:tcPr>
            <w:tcW w:w="1341" w:type="dxa"/>
            <w:tcBorders>
              <w:top w:val="single" w:color="auto" w:sz="4" w:space="0"/>
              <w:left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食堂油烟</w:t>
            </w:r>
          </w:p>
        </w:tc>
        <w:tc>
          <w:tcPr>
            <w:tcW w:w="1844" w:type="dxa"/>
            <w:tcBorders>
              <w:top w:val="single" w:color="auto" w:sz="4" w:space="0"/>
              <w:left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油烟废气</w:t>
            </w:r>
          </w:p>
        </w:tc>
        <w:tc>
          <w:tcPr>
            <w:tcW w:w="2147" w:type="dxa"/>
            <w:tcBorders>
              <w:top w:val="single" w:color="auto" w:sz="4" w:space="0"/>
              <w:left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油烟净化器+引至楼顶排放</w:t>
            </w:r>
          </w:p>
        </w:tc>
        <w:tc>
          <w:tcPr>
            <w:tcW w:w="2655" w:type="dxa"/>
            <w:tcBorders>
              <w:top w:val="single" w:color="auto" w:sz="4" w:space="0"/>
              <w:left w:val="single" w:color="auto" w:sz="4" w:space="0"/>
              <w:right w:val="single" w:color="auto" w:sz="8"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highlight w:val="none"/>
                <w:lang w:val="en-US" w:eastAsia="zh-CN"/>
              </w:rPr>
              <w:t>《饮食业油烟排放标准</w:t>
            </w:r>
            <w:r>
              <w:rPr>
                <w:rFonts w:hint="eastAsia" w:cs="Times New Roman"/>
                <w:color w:val="auto"/>
                <w:sz w:val="24"/>
                <w:highlight w:val="none"/>
                <w:lang w:val="en-US" w:eastAsia="zh-CN"/>
              </w:rPr>
              <w:t>（试行）</w:t>
            </w:r>
            <w:r>
              <w:rPr>
                <w:rFonts w:hint="default" w:ascii="Times New Roman" w:hAnsi="Times New Roman" w:eastAsia="宋体" w:cs="Times New Roman"/>
                <w:color w:val="auto"/>
                <w:sz w:val="24"/>
                <w:highlight w:val="none"/>
                <w:lang w:val="en-US" w:eastAsia="zh-CN"/>
              </w:rPr>
              <w:t>》（GB18483-2001）</w:t>
            </w:r>
            <w:r>
              <w:rPr>
                <w:rFonts w:hint="eastAsia" w:ascii="Times New Roman" w:hAnsi="Times New Roman" w:eastAsia="宋体" w:cs="Times New Roman"/>
                <w:color w:val="auto"/>
                <w:sz w:val="24"/>
                <w:highlight w:val="none"/>
                <w:lang w:val="en-US" w:eastAsia="zh-CN"/>
              </w:rPr>
              <w:t>“小</w:t>
            </w:r>
            <w:r>
              <w:rPr>
                <w:rFonts w:hint="default" w:ascii="Times New Roman" w:hAnsi="Times New Roman" w:eastAsia="宋体" w:cs="Times New Roman"/>
                <w:color w:val="auto"/>
                <w:sz w:val="24"/>
                <w:highlight w:val="none"/>
                <w:lang w:val="en-US" w:eastAsia="zh-CN"/>
              </w:rPr>
              <w:t>型规模</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13" w:type="dxa"/>
            <w:vMerge w:val="restart"/>
            <w:tcBorders>
              <w:top w:val="single" w:color="auto" w:sz="4" w:space="0"/>
              <w:left w:val="single" w:color="auto" w:sz="8" w:space="0"/>
              <w:right w:val="single" w:color="auto" w:sz="4" w:space="0"/>
            </w:tcBorders>
            <w:vAlign w:val="center"/>
          </w:tcPr>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341" w:type="dxa"/>
            <w:tcBorders>
              <w:top w:val="single" w:color="auto" w:sz="4" w:space="0"/>
              <w:left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生活污水</w:t>
            </w:r>
          </w:p>
        </w:tc>
        <w:tc>
          <w:tcPr>
            <w:tcW w:w="1844" w:type="dxa"/>
            <w:tcBorders>
              <w:top w:val="single" w:color="auto" w:sz="4" w:space="0"/>
              <w:left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pH值、COD、</w:t>
            </w:r>
            <w:r>
              <w:rPr>
                <w:rFonts w:hint="eastAsia" w:ascii="Times New Roman" w:hAnsi="Times New Roman" w:eastAsia="宋体" w:cs="Times New Roman"/>
                <w:color w:val="auto"/>
                <w:sz w:val="24"/>
                <w:szCs w:val="24"/>
                <w:lang w:val="en-US" w:eastAsia="zh-CN"/>
              </w:rPr>
              <w:t>氨氮、</w:t>
            </w:r>
            <w:r>
              <w:rPr>
                <w:rFonts w:hint="default" w:ascii="Times New Roman" w:hAnsi="Times New Roman" w:eastAsia="宋体" w:cs="Times New Roman"/>
                <w:color w:val="auto"/>
                <w:sz w:val="24"/>
                <w:szCs w:val="24"/>
                <w:lang w:val="en-US" w:eastAsia="zh-CN"/>
              </w:rPr>
              <w:t>悬浮物、</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vertAlign w:val="baseline"/>
                <w:lang w:val="en-US" w:eastAsia="zh-CN"/>
              </w:rPr>
              <w:t>、TN、TP、动植物油</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隔油池+</w:t>
            </w:r>
            <w:r>
              <w:rPr>
                <w:rFonts w:hint="default" w:ascii="Times New Roman" w:hAnsi="Times New Roman" w:eastAsia="宋体" w:cs="Times New Roman"/>
                <w:color w:val="auto"/>
                <w:sz w:val="24"/>
                <w:szCs w:val="24"/>
                <w:lang w:val="en-US" w:eastAsia="zh-CN"/>
              </w:rPr>
              <w:t>化粪池</w:t>
            </w:r>
            <w:r>
              <w:rPr>
                <w:rFonts w:hint="eastAsia" w:ascii="Times New Roman" w:hAnsi="Times New Roman" w:eastAsia="宋体" w:cs="Times New Roman"/>
                <w:color w:val="auto"/>
                <w:sz w:val="24"/>
                <w:szCs w:val="24"/>
                <w:lang w:val="en-US" w:eastAsia="zh-CN"/>
              </w:rPr>
              <w:t>处理</w:t>
            </w:r>
            <w:r>
              <w:rPr>
                <w:rFonts w:hint="default" w:ascii="Times New Roman" w:hAnsi="Times New Roman" w:eastAsia="宋体" w:cs="Times New Roman"/>
                <w:color w:val="auto"/>
                <w:sz w:val="24"/>
                <w:szCs w:val="24"/>
                <w:lang w:val="en-US" w:eastAsia="zh-CN"/>
              </w:rPr>
              <w:t>后</w:t>
            </w:r>
            <w:r>
              <w:rPr>
                <w:rFonts w:hint="eastAsia" w:ascii="Times New Roman" w:hAnsi="Times New Roman" w:eastAsia="宋体" w:cs="Times New Roman"/>
                <w:color w:val="auto"/>
                <w:sz w:val="24"/>
                <w:szCs w:val="24"/>
                <w:lang w:val="en-US" w:eastAsia="zh-CN"/>
              </w:rPr>
              <w:t>排入高新技术产业园区污水处理厂</w:t>
            </w:r>
          </w:p>
        </w:tc>
        <w:tc>
          <w:tcPr>
            <w:tcW w:w="2655" w:type="dxa"/>
            <w:tcBorders>
              <w:left w:val="single" w:color="auto" w:sz="4" w:space="0"/>
              <w:right w:val="single" w:color="auto" w:sz="8"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奉新县高新技术产业园污水处理厂接管标准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13" w:type="dxa"/>
            <w:vMerge w:val="continue"/>
            <w:tcBorders>
              <w:left w:val="single" w:color="auto" w:sz="8" w:space="0"/>
              <w:right w:val="single" w:color="auto" w:sz="4" w:space="0"/>
            </w:tcBorders>
            <w:vAlign w:val="center"/>
          </w:tcPr>
          <w:p>
            <w:pPr>
              <w:jc w:val="center"/>
              <w:rPr>
                <w:rFonts w:hint="default" w:ascii="Times New Roman" w:hAnsi="Times New Roman" w:eastAsia="宋体" w:cs="Times New Roman"/>
                <w:color w:val="auto"/>
                <w:sz w:val="24"/>
                <w:szCs w:val="24"/>
              </w:rPr>
            </w:pPr>
          </w:p>
        </w:tc>
        <w:tc>
          <w:tcPr>
            <w:tcW w:w="1341" w:type="dxa"/>
            <w:tcBorders>
              <w:top w:val="single" w:color="auto" w:sz="4" w:space="0"/>
              <w:left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车辆冲洗水</w:t>
            </w:r>
          </w:p>
        </w:tc>
        <w:tc>
          <w:tcPr>
            <w:tcW w:w="1844" w:type="dxa"/>
            <w:tcBorders>
              <w:top w:val="single" w:color="auto" w:sz="4" w:space="0"/>
              <w:left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SS</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沉淀池处理后循环利用，不外排</w:t>
            </w:r>
          </w:p>
        </w:tc>
        <w:tc>
          <w:tcPr>
            <w:tcW w:w="2655" w:type="dxa"/>
            <w:vMerge w:val="restart"/>
            <w:tcBorders>
              <w:left w:val="single" w:color="auto" w:sz="4" w:space="0"/>
              <w:right w:val="single" w:color="auto" w:sz="8" w:space="0"/>
            </w:tcBorders>
            <w:vAlign w:val="center"/>
          </w:tcPr>
          <w:p>
            <w:pPr>
              <w:spacing w:line="260" w:lineRule="exact"/>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《城市污水再生利用城市杂用水水质》（GB/T18920-2020）中车辆清洗用水标准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13" w:type="dxa"/>
            <w:vMerge w:val="continue"/>
            <w:tcBorders>
              <w:left w:val="single" w:color="auto" w:sz="8" w:space="0"/>
              <w:right w:val="single" w:color="auto" w:sz="4" w:space="0"/>
            </w:tcBorders>
            <w:vAlign w:val="center"/>
          </w:tcPr>
          <w:p>
            <w:pPr>
              <w:jc w:val="center"/>
              <w:rPr>
                <w:rFonts w:hint="default" w:ascii="Times New Roman" w:hAnsi="Times New Roman" w:eastAsia="宋体" w:cs="Times New Roman"/>
                <w:color w:val="auto"/>
                <w:sz w:val="24"/>
                <w:szCs w:val="24"/>
              </w:rPr>
            </w:pPr>
          </w:p>
        </w:tc>
        <w:tc>
          <w:tcPr>
            <w:tcW w:w="1341" w:type="dxa"/>
            <w:tcBorders>
              <w:top w:val="single" w:color="auto" w:sz="4" w:space="0"/>
              <w:left w:val="single" w:color="auto" w:sz="4" w:space="0"/>
              <w:right w:val="single" w:color="auto" w:sz="4" w:space="0"/>
            </w:tcBorders>
            <w:vAlign w:val="center"/>
          </w:tcPr>
          <w:p>
            <w:pPr>
              <w:spacing w:line="260" w:lineRule="exact"/>
              <w:jc w:val="center"/>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初期雨水</w:t>
            </w:r>
          </w:p>
        </w:tc>
        <w:tc>
          <w:tcPr>
            <w:tcW w:w="1844" w:type="dxa"/>
            <w:tcBorders>
              <w:top w:val="single" w:color="auto" w:sz="4" w:space="0"/>
              <w:left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SS、氟化物</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洗车池沉淀后循环利用，不外排</w:t>
            </w:r>
          </w:p>
        </w:tc>
        <w:tc>
          <w:tcPr>
            <w:tcW w:w="2655" w:type="dxa"/>
            <w:vMerge w:val="continue"/>
            <w:tcBorders>
              <w:left w:val="single" w:color="auto" w:sz="4" w:space="0"/>
              <w:right w:val="single" w:color="auto" w:sz="8" w:space="0"/>
            </w:tcBorders>
            <w:vAlign w:val="center"/>
          </w:tcPr>
          <w:p>
            <w:pPr>
              <w:spacing w:line="260" w:lineRule="exact"/>
              <w:jc w:val="center"/>
              <w:rPr>
                <w:rFonts w:hint="eastAsia"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34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设备</w:t>
            </w:r>
          </w:p>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噪声</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等效连续A声级</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基础减振、墙体隔声</w:t>
            </w:r>
          </w:p>
        </w:tc>
        <w:tc>
          <w:tcPr>
            <w:tcW w:w="2655" w:type="dxa"/>
            <w:tcBorders>
              <w:top w:val="single" w:color="auto" w:sz="4" w:space="0"/>
              <w:left w:val="single" w:color="auto" w:sz="4" w:space="0"/>
              <w:bottom w:val="single" w:color="auto" w:sz="4" w:space="0"/>
              <w:right w:val="single" w:color="auto" w:sz="8"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《工业企业厂界环境噪声排放标准》（GB12348-2008）</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13" w:type="dxa"/>
            <w:vMerge w:val="restart"/>
            <w:tcBorders>
              <w:top w:val="single" w:color="auto" w:sz="4" w:space="0"/>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134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一般工业固废</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废布袋、废包装材料、废污泥</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外售</w:t>
            </w:r>
            <w:r>
              <w:rPr>
                <w:rFonts w:hint="eastAsia" w:ascii="Times New Roman" w:hAnsi="Times New Roman" w:eastAsia="宋体" w:cs="Times New Roman"/>
                <w:color w:val="auto"/>
                <w:sz w:val="24"/>
                <w:szCs w:val="24"/>
                <w:lang w:val="en-US" w:eastAsia="zh-CN"/>
              </w:rPr>
              <w:t>综合利用</w:t>
            </w:r>
          </w:p>
        </w:tc>
        <w:tc>
          <w:tcPr>
            <w:tcW w:w="2655" w:type="dxa"/>
            <w:tcBorders>
              <w:top w:val="single" w:color="auto" w:sz="4" w:space="0"/>
              <w:left w:val="single" w:color="auto" w:sz="4" w:space="0"/>
              <w:bottom w:val="single" w:color="auto" w:sz="4" w:space="0"/>
              <w:right w:val="single" w:color="auto" w:sz="8"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防渗漏、防雨淋、防扬尘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813" w:type="dxa"/>
            <w:vMerge w:val="continue"/>
            <w:tcBorders>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rPr>
            </w:pPr>
          </w:p>
        </w:tc>
        <w:tc>
          <w:tcPr>
            <w:tcW w:w="134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危险固废</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废机油、废机油桶</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交</w:t>
            </w:r>
            <w:r>
              <w:rPr>
                <w:rFonts w:hint="eastAsia" w:ascii="Times New Roman" w:hAnsi="Times New Roman" w:eastAsia="宋体" w:cs="Times New Roman"/>
                <w:color w:val="auto"/>
                <w:sz w:val="24"/>
                <w:szCs w:val="24"/>
                <w:lang w:val="en-US" w:eastAsia="zh-CN"/>
              </w:rPr>
              <w:t>有</w:t>
            </w:r>
            <w:r>
              <w:rPr>
                <w:rFonts w:hint="default" w:ascii="Times New Roman" w:hAnsi="Times New Roman" w:eastAsia="宋体" w:cs="Times New Roman"/>
                <w:color w:val="auto"/>
                <w:sz w:val="24"/>
                <w:szCs w:val="24"/>
                <w:lang w:val="en-US" w:eastAsia="zh-CN"/>
              </w:rPr>
              <w:t>危废资质单位处置</w:t>
            </w:r>
          </w:p>
        </w:tc>
        <w:tc>
          <w:tcPr>
            <w:tcW w:w="2655" w:type="dxa"/>
            <w:tcBorders>
              <w:top w:val="single" w:color="auto" w:sz="4" w:space="0"/>
              <w:left w:val="single" w:color="auto" w:sz="4" w:space="0"/>
              <w:bottom w:val="single" w:color="auto" w:sz="4" w:space="0"/>
              <w:right w:val="single" w:color="auto" w:sz="8"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《危险贮存污染物控制标准》（GB18597-2023）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13" w:type="dxa"/>
            <w:vMerge w:val="continue"/>
            <w:tcBorders>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rPr>
            </w:pPr>
          </w:p>
        </w:tc>
        <w:tc>
          <w:tcPr>
            <w:tcW w:w="134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生活垃圾</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环卫部门处理处置</w:t>
            </w:r>
          </w:p>
        </w:tc>
        <w:tc>
          <w:tcPr>
            <w:tcW w:w="2655" w:type="dxa"/>
            <w:tcBorders>
              <w:top w:val="single" w:color="auto" w:sz="4" w:space="0"/>
              <w:left w:val="single" w:color="auto" w:sz="4" w:space="0"/>
              <w:bottom w:val="single" w:color="auto" w:sz="4" w:space="0"/>
              <w:right w:val="single" w:color="auto" w:sz="8" w:space="0"/>
            </w:tcBorders>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13"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污染防治措施</w:t>
            </w:r>
          </w:p>
        </w:tc>
        <w:tc>
          <w:tcPr>
            <w:tcW w:w="7987" w:type="dxa"/>
            <w:gridSpan w:val="4"/>
            <w:tcBorders>
              <w:top w:val="single" w:color="auto" w:sz="4" w:space="0"/>
              <w:left w:val="single" w:color="auto" w:sz="4" w:space="0"/>
              <w:bottom w:val="single" w:color="auto" w:sz="4" w:space="0"/>
              <w:right w:val="single" w:color="auto" w:sz="8" w:space="0"/>
            </w:tcBorders>
            <w:vAlign w:val="center"/>
          </w:tcPr>
          <w:p>
            <w:pPr>
              <w:spacing w:line="26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对</w:t>
            </w:r>
            <w:r>
              <w:rPr>
                <w:rFonts w:hint="default" w:ascii="Times New Roman" w:hAnsi="Times New Roman" w:eastAsia="宋体" w:cs="Times New Roman"/>
                <w:color w:val="FF0000"/>
                <w:sz w:val="24"/>
                <w:szCs w:val="24"/>
                <w:lang w:val="en-US" w:eastAsia="zh-CN"/>
              </w:rPr>
              <w:t>危废暂存间</w:t>
            </w:r>
            <w:r>
              <w:rPr>
                <w:rFonts w:hint="eastAsia" w:ascii="Times New Roman" w:hAnsi="Times New Roman" w:eastAsia="宋体" w:cs="Times New Roman"/>
                <w:color w:val="FF0000"/>
                <w:sz w:val="24"/>
                <w:szCs w:val="24"/>
                <w:lang w:val="en-US" w:eastAsia="zh-CN"/>
              </w:rPr>
              <w:t>依据《危险废物贮存污染控制标准》GB18597-2023 防渗要求，渗透系数 ≤10</w:t>
            </w:r>
            <w:r>
              <w:rPr>
                <w:rFonts w:hint="eastAsia" w:ascii="Times New Roman" w:hAnsi="Times New Roman" w:eastAsia="宋体" w:cs="Times New Roman"/>
                <w:color w:val="FF0000"/>
                <w:sz w:val="24"/>
                <w:szCs w:val="24"/>
                <w:vertAlign w:val="superscript"/>
                <w:lang w:val="en-US" w:eastAsia="zh-CN"/>
              </w:rPr>
              <w:t>-10</w:t>
            </w:r>
            <w:r>
              <w:rPr>
                <w:rFonts w:hint="eastAsia" w:ascii="Times New Roman" w:hAnsi="Times New Roman" w:eastAsia="宋体" w:cs="Times New Roman"/>
                <w:color w:val="FF0000"/>
                <w:sz w:val="24"/>
                <w:szCs w:val="24"/>
                <w:lang w:val="en-US" w:eastAsia="zh-CN"/>
              </w:rPr>
              <w:t>cm/s，洗车池、沉淀池、化粪池、初期雨水池防渗要求为：等效黏土防渗层厚≥6.0m，渗透系数≤1.0×</w:t>
            </w:r>
            <w:r>
              <w:rPr>
                <w:rFonts w:hint="eastAsia" w:ascii="Times New Roman" w:hAnsi="Times New Roman" w:eastAsia="宋体" w:cs="Times New Roman"/>
                <w:color w:val="FF0000"/>
                <w:sz w:val="24"/>
                <w:szCs w:val="24"/>
                <w:vertAlign w:val="superscript"/>
                <w:lang w:val="en-US" w:eastAsia="zh-CN"/>
              </w:rPr>
              <w:t>10-7</w:t>
            </w:r>
            <w:r>
              <w:rPr>
                <w:rFonts w:hint="eastAsia" w:ascii="Times New Roman" w:hAnsi="Times New Roman" w:eastAsia="宋体" w:cs="Times New Roman"/>
                <w:color w:val="FF0000"/>
                <w:sz w:val="24"/>
                <w:szCs w:val="24"/>
                <w:lang w:val="en-US" w:eastAsia="zh-CN"/>
              </w:rPr>
              <w:t>cm/s</w:t>
            </w:r>
            <w:r>
              <w:rPr>
                <w:rFonts w:hint="default" w:ascii="Times New Roman" w:hAnsi="Times New Roman" w:eastAsia="宋体" w:cs="Times New Roman"/>
                <w:color w:val="FF0000"/>
                <w:sz w:val="24"/>
                <w:szCs w:val="24"/>
                <w:lang w:val="en-US" w:eastAsia="zh-CN"/>
              </w:rPr>
              <w:t>进行</w:t>
            </w:r>
            <w:r>
              <w:rPr>
                <w:rFonts w:hint="default" w:ascii="Times New Roman" w:hAnsi="Times New Roman" w:eastAsia="宋体" w:cs="Times New Roman"/>
                <w:color w:val="auto"/>
                <w:sz w:val="24"/>
                <w:szCs w:val="24"/>
                <w:lang w:val="en-US" w:eastAsia="zh-CN"/>
              </w:rPr>
              <w:t>重点防渗，一般固废区</w:t>
            </w:r>
            <w:r>
              <w:rPr>
                <w:rFonts w:hint="eastAsia" w:ascii="Times New Roman" w:hAnsi="Times New Roman" w:eastAsia="宋体" w:cs="Times New Roman"/>
                <w:color w:val="auto"/>
                <w:sz w:val="24"/>
                <w:szCs w:val="24"/>
                <w:lang w:val="en-US" w:eastAsia="zh-CN"/>
              </w:rPr>
              <w:t>、原辅材料堆场、生产区域等</w:t>
            </w:r>
            <w:r>
              <w:rPr>
                <w:rFonts w:hint="default" w:ascii="Times New Roman" w:hAnsi="Times New Roman" w:eastAsia="宋体" w:cs="Times New Roman"/>
                <w:color w:val="auto"/>
                <w:sz w:val="24"/>
                <w:szCs w:val="24"/>
                <w:lang w:val="en-US" w:eastAsia="zh-CN"/>
              </w:rPr>
              <w:t>采用一般防渗（等效黏土防渗层Mb≧1.5m，渗透系数≤10</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cm/s），办公室</w:t>
            </w:r>
            <w:r>
              <w:rPr>
                <w:rFonts w:hint="eastAsia" w:ascii="Times New Roman" w:hAnsi="Times New Roman" w:eastAsia="宋体" w:cs="Times New Roman"/>
                <w:color w:val="auto"/>
                <w:sz w:val="24"/>
                <w:szCs w:val="24"/>
                <w:lang w:val="en-US" w:eastAsia="zh-CN"/>
              </w:rPr>
              <w:t>、食堂、宿舍</w:t>
            </w:r>
            <w:r>
              <w:rPr>
                <w:rFonts w:hint="default" w:ascii="Times New Roman" w:hAnsi="Times New Roman" w:eastAsia="宋体" w:cs="Times New Roman"/>
                <w:color w:val="auto"/>
                <w:sz w:val="24"/>
                <w:szCs w:val="24"/>
                <w:lang w:val="en-US" w:eastAsia="zh-CN"/>
              </w:rPr>
              <w:t>等其他区域采用简单防渗（一般地面硬化）</w:t>
            </w:r>
            <w:r>
              <w:rPr>
                <w:rFonts w:hint="eastAsia" w:ascii="Times New Roman" w:hAnsi="Times New Roman" w:eastAsia="宋体" w:cs="Times New Roman"/>
                <w:color w:val="auto"/>
                <w:sz w:val="24"/>
                <w:szCs w:val="24"/>
                <w:lang w:val="en-US" w:eastAsia="zh-CN"/>
              </w:rPr>
              <w:t>。</w:t>
            </w:r>
          </w:p>
          <w:p>
            <w:pPr>
              <w:pStyle w:val="145"/>
              <w:snapToGrid w:val="0"/>
              <w:spacing w:line="360" w:lineRule="auto"/>
              <w:jc w:val="both"/>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13"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环境风险防范措施</w:t>
            </w:r>
          </w:p>
        </w:tc>
        <w:tc>
          <w:tcPr>
            <w:tcW w:w="7987" w:type="dxa"/>
            <w:gridSpan w:val="4"/>
            <w:tcBorders>
              <w:top w:val="single" w:color="auto" w:sz="4" w:space="0"/>
              <w:left w:val="single" w:color="auto" w:sz="4" w:space="0"/>
              <w:bottom w:val="single" w:color="auto" w:sz="4" w:space="0"/>
              <w:right w:val="single" w:color="auto" w:sz="8" w:space="0"/>
            </w:tcBorders>
            <w:vAlign w:val="center"/>
          </w:tcPr>
          <w:p>
            <w:pPr>
              <w:spacing w:line="260" w:lineRule="exact"/>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2"/>
                <w:sz w:val="21"/>
                <w:szCs w:val="22"/>
                <w:highlight w:val="none"/>
                <w:lang w:val="en-US" w:eastAsia="zh-CN" w:bidi="ar-SA"/>
              </w:rPr>
              <w:t>①为把风险事故的发生和影响降到最低限度，针对项目的生产特点，特别应注意以下几点：加强职工安全环保教育，增强操作工人的责任心，防止和减少因人为因素造成的事故，同时也要加强防火安全教育；应配备必需的消防设施，落实安全管理责任。②制定和落实防火安全责任制及消防安全规章制度，除加强对员工的消防知识培训，对消防安全责任人及员工也定期进行消防知识培训，消防安全管理人员持证上岗。③储存区的建筑设计应符合《建筑设计防火规范》、《仓库防火安全管理规则》、《化学危险物品安全管理条例》等规定。④在储存区应设明显的防火等级标志，通道应保持畅通。⑤石灰粉吸湿性较强，因此生产厂房应注意做好防雨、防潮。⑥综合考虑本项目废气治理设施发生故障的可能性及事故的类型，建设单位应定期对废气处置设施进行检修，并形成制度。安排环保专员对废气处置设施进行管理，设备检修过程或设施维护过程应暂时停止生产，防治因维护检修造成废气排入空气环境造成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13"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其他环境管理要求</w:t>
            </w:r>
          </w:p>
        </w:tc>
        <w:tc>
          <w:tcPr>
            <w:tcW w:w="7987" w:type="dxa"/>
            <w:gridSpan w:val="4"/>
            <w:tcBorders>
              <w:top w:val="single" w:color="auto" w:sz="4" w:space="0"/>
              <w:left w:val="single" w:color="auto" w:sz="4" w:space="0"/>
              <w:bottom w:val="single" w:color="auto" w:sz="4" w:space="0"/>
              <w:right w:val="single" w:color="auto" w:sz="8" w:space="0"/>
            </w:tcBorders>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①配置环境风险应急物资，加强员工安全培训强度，安排专人负责环保设施正常运行，定期检修环保设施。</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②运行期环境职责</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分管环境的专人负责环保指标的落实，将环保指标逐级分解到车间、班组和个人，负责环保设备的运转和维护，确保其正常运转和达标排放，充分发挥其作用；配合地方环保监测部门进行日常环境监测，记录并及时上报污染源及环保措施运行动态。</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③环境监测</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环境监测是企业环境管理必不可少的一部分，也是环境管理规范化的重要手段，其对企业主要污染物进行监测分析、资料整理、编制报表、建立技术档案，为上级环保部门进行环境规划、管理及执法提供依据。</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④企业排污口规范化整治</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根据《关于开展排放口规范化整治工作的通知》(国家环境保护总局环发【1999】24 号)和《排放口规范化整治技术》(国家环境保护总局环发【1999】24号文)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项目应在各气、水、声、固排污口（源）挂牌标识。规范化整治具体如下：</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A废水排放口附近醒目处应树立一个环保图形标志牌。</w:t>
            </w:r>
          </w:p>
          <w:p>
            <w:pPr>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B固废处置前应当有防扬散、防流失等措施，贮存处进出口醒目处应设置环保图形标志牌。</w:t>
            </w:r>
          </w:p>
          <w:p>
            <w:pPr>
              <w:pStyle w:val="75"/>
              <w:jc w:val="center"/>
              <w:rPr>
                <w:rFonts w:hint="eastAsia" w:ascii="Times New Roman" w:hAnsi="Times New Roman" w:eastAsia="宋体" w:cs="Times New Roman"/>
                <w:color w:val="auto"/>
                <w:sz w:val="24"/>
                <w:szCs w:val="24"/>
                <w:highlight w:val="none"/>
                <w:lang w:val="en-US" w:eastAsia="zh-CN"/>
              </w:rPr>
            </w:pPr>
          </w:p>
          <w:p>
            <w:pPr>
              <w:jc w:val="center"/>
              <w:rPr>
                <w:rFonts w:hint="eastAsia"/>
                <w:color w:val="auto"/>
                <w:lang w:val="en-US" w:eastAsia="zh-CN"/>
              </w:rPr>
            </w:pPr>
          </w:p>
          <w:p>
            <w:pPr>
              <w:jc w:val="center"/>
              <w:rPr>
                <w:rFonts w:hint="default"/>
                <w:color w:val="auto"/>
                <w:sz w:val="24"/>
                <w:szCs w:val="24"/>
              </w:rPr>
            </w:pPr>
          </w:p>
        </w:tc>
      </w:tr>
    </w:tbl>
    <w:p>
      <w:pPr>
        <w:rPr>
          <w:rFonts w:hint="default" w:ascii="Times New Roman" w:hAnsi="Times New Roman" w:eastAsia="宋体" w:cs="Times New Roman"/>
          <w:snapToGrid w:val="0"/>
          <w:color w:val="FF0000"/>
        </w:rPr>
      </w:pPr>
      <w:r>
        <w:rPr>
          <w:rFonts w:hint="default" w:ascii="Times New Roman" w:hAnsi="Times New Roman" w:eastAsia="宋体" w:cs="Times New Roman"/>
          <w:snapToGrid w:val="0"/>
          <w:color w:val="FF0000"/>
        </w:rPr>
        <w:br w:type="page"/>
      </w:r>
    </w:p>
    <w:p>
      <w:pPr>
        <w:pStyle w:val="2"/>
        <w:spacing w:line="360" w:lineRule="auto"/>
        <w:jc w:val="center"/>
        <w:rPr>
          <w:rFonts w:hint="default" w:ascii="Times New Roman" w:hAnsi="Times New Roman" w:eastAsia="宋体" w:cs="Times New Roman"/>
          <w:b w:val="0"/>
          <w:bCs/>
          <w:snapToGrid w:val="0"/>
          <w:color w:val="auto"/>
          <w:kern w:val="0"/>
          <w:sz w:val="30"/>
          <w:szCs w:val="30"/>
        </w:rPr>
      </w:pPr>
      <w:bookmarkStart w:id="14" w:name="_Toc8017"/>
      <w:r>
        <w:rPr>
          <w:rFonts w:hint="default" w:ascii="Times New Roman" w:hAnsi="Times New Roman" w:eastAsia="宋体" w:cs="Times New Roman"/>
          <w:b w:val="0"/>
          <w:bCs/>
          <w:snapToGrid w:val="0"/>
          <w:color w:val="auto"/>
          <w:sz w:val="30"/>
          <w:szCs w:val="30"/>
        </w:rPr>
        <w:t>六、结论</w:t>
      </w:r>
      <w:bookmarkEnd w:id="14"/>
    </w:p>
    <w:tbl>
      <w:tblPr>
        <w:tblStyle w:val="5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tcPr>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建设符合国家产业政策，项目所在区域环境质量满足相应环境功能区划要求，项目与周边环境相容，选址可行；项目拟采取的污染防治措施有效，各污染物经处理后均能满足相应排放标准；具有良好的经济效益和较好的社会效益。</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对本项目的环境影响分析评价，项目运营过程中会产生废气、噪声、固体废物等污染物，对周围大气环境、水环境、声环境造成一定不利影响，经采取积极有效的防治措施并确保污染物达标排放后，可避免或减少这些不利影响，影响均在环境可接受的范围内。</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综上所述，在认真执行建设项目“三同时”制度，严格落实本环境影响评价提出的各项环保措施的前提下，从环境保护角度分析，本项目建设是可行的。</w:t>
            </w:r>
          </w:p>
          <w:p>
            <w:pPr>
              <w:spacing w:line="360" w:lineRule="auto"/>
              <w:rPr>
                <w:rFonts w:hint="eastAsia" w:ascii="Times New Roman" w:hAnsi="Times New Roman" w:eastAsia="宋体" w:cs="Times New Roman"/>
                <w:color w:val="auto"/>
                <w:sz w:val="24"/>
                <w:szCs w:val="24"/>
                <w:lang w:eastAsia="zh-CN"/>
              </w:rPr>
            </w:pPr>
          </w:p>
          <w:p>
            <w:pPr>
              <w:spacing w:line="360" w:lineRule="auto"/>
              <w:rPr>
                <w:rFonts w:hint="default" w:ascii="Times New Roman" w:hAnsi="Times New Roman" w:eastAsia="宋体" w:cs="Times New Roman"/>
                <w:color w:val="auto"/>
                <w:sz w:val="24"/>
                <w:szCs w:val="24"/>
              </w:rPr>
            </w:pPr>
          </w:p>
          <w:p>
            <w:pPr>
              <w:spacing w:line="360" w:lineRule="auto"/>
              <w:rPr>
                <w:rFonts w:hint="default" w:ascii="Times New Roman" w:hAnsi="Times New Roman" w:eastAsia="宋体" w:cs="Times New Roman"/>
                <w:color w:val="auto"/>
                <w:sz w:val="24"/>
                <w:szCs w:val="24"/>
              </w:rPr>
            </w:pPr>
          </w:p>
          <w:p>
            <w:pPr>
              <w:spacing w:line="360" w:lineRule="auto"/>
              <w:rPr>
                <w:rFonts w:hint="default" w:ascii="Times New Roman" w:hAnsi="Times New Roman" w:eastAsia="宋体" w:cs="Times New Roman"/>
                <w:color w:val="auto"/>
                <w:sz w:val="24"/>
                <w:szCs w:val="24"/>
              </w:rPr>
            </w:pPr>
          </w:p>
          <w:p>
            <w:pPr>
              <w:spacing w:line="360" w:lineRule="auto"/>
              <w:rPr>
                <w:rFonts w:hint="default" w:ascii="Times New Roman" w:hAnsi="Times New Roman" w:eastAsia="宋体" w:cs="Times New Roman"/>
                <w:color w:val="auto"/>
                <w:sz w:val="24"/>
                <w:szCs w:val="24"/>
              </w:rPr>
            </w:pPr>
          </w:p>
          <w:p>
            <w:pPr>
              <w:spacing w:line="360" w:lineRule="auto"/>
              <w:rPr>
                <w:rFonts w:hint="default" w:ascii="Times New Roman" w:hAnsi="Times New Roman" w:eastAsia="宋体" w:cs="Times New Roman"/>
                <w:color w:val="auto"/>
                <w:sz w:val="24"/>
                <w:szCs w:val="24"/>
              </w:rPr>
            </w:pPr>
          </w:p>
          <w:p>
            <w:pPr>
              <w:spacing w:line="360" w:lineRule="auto"/>
              <w:rPr>
                <w:rFonts w:hint="default" w:ascii="Times New Roman" w:hAnsi="Times New Roman" w:eastAsia="宋体" w:cs="Times New Roman"/>
                <w:color w:val="auto"/>
                <w:sz w:val="24"/>
                <w:szCs w:val="24"/>
              </w:rPr>
            </w:pPr>
          </w:p>
          <w:p>
            <w:pPr>
              <w:spacing w:line="360" w:lineRule="auto"/>
              <w:rPr>
                <w:rFonts w:hint="default" w:ascii="Times New Roman" w:hAnsi="Times New Roman" w:eastAsia="宋体" w:cs="Times New Roman"/>
                <w:color w:val="auto"/>
                <w:sz w:val="24"/>
                <w:szCs w:val="24"/>
              </w:rPr>
            </w:pPr>
          </w:p>
          <w:p>
            <w:pPr>
              <w:spacing w:line="360" w:lineRule="auto"/>
              <w:rPr>
                <w:rFonts w:hint="default" w:ascii="Times New Roman" w:hAnsi="Times New Roman" w:eastAsia="宋体" w:cs="Times New Roman"/>
                <w:color w:val="auto"/>
                <w:sz w:val="24"/>
                <w:szCs w:val="24"/>
              </w:rPr>
            </w:pPr>
          </w:p>
          <w:p>
            <w:pPr>
              <w:spacing w:line="360" w:lineRule="auto"/>
              <w:rPr>
                <w:rFonts w:hint="default" w:ascii="Times New Roman" w:hAnsi="Times New Roman" w:eastAsia="宋体" w:cs="Times New Roman"/>
                <w:color w:val="auto"/>
                <w:sz w:val="24"/>
                <w:szCs w:val="24"/>
              </w:rPr>
            </w:pPr>
          </w:p>
          <w:p>
            <w:pPr>
              <w:spacing w:line="360" w:lineRule="auto"/>
              <w:rPr>
                <w:rFonts w:hint="default" w:ascii="Times New Roman" w:hAnsi="Times New Roman" w:eastAsia="宋体" w:cs="Times New Roman"/>
                <w:color w:val="auto"/>
                <w:sz w:val="24"/>
                <w:szCs w:val="24"/>
              </w:rPr>
            </w:pPr>
          </w:p>
          <w:p>
            <w:pPr>
              <w:spacing w:line="360" w:lineRule="auto"/>
              <w:rPr>
                <w:rFonts w:hint="default" w:ascii="Times New Roman" w:hAnsi="Times New Roman" w:eastAsia="宋体" w:cs="Times New Roman"/>
                <w:color w:val="auto"/>
                <w:sz w:val="24"/>
                <w:szCs w:val="24"/>
              </w:rPr>
            </w:pPr>
          </w:p>
          <w:p>
            <w:pPr>
              <w:spacing w:line="360" w:lineRule="auto"/>
              <w:ind w:firstLine="480" w:firstLineChars="200"/>
              <w:rPr>
                <w:rFonts w:hint="default" w:ascii="Times New Roman" w:hAnsi="Times New Roman" w:eastAsia="宋体" w:cs="Times New Roman"/>
                <w:color w:val="auto"/>
                <w:sz w:val="24"/>
                <w:szCs w:val="24"/>
              </w:rPr>
            </w:pPr>
          </w:p>
          <w:p>
            <w:pPr>
              <w:spacing w:line="360" w:lineRule="auto"/>
              <w:ind w:firstLine="480" w:firstLineChars="200"/>
              <w:rPr>
                <w:rFonts w:hint="default" w:ascii="Times New Roman" w:hAnsi="Times New Roman" w:eastAsia="宋体" w:cs="Times New Roman"/>
                <w:color w:val="auto"/>
                <w:sz w:val="24"/>
                <w:szCs w:val="24"/>
              </w:rPr>
            </w:pPr>
          </w:p>
          <w:p>
            <w:pPr>
              <w:spacing w:line="360" w:lineRule="auto"/>
              <w:ind w:firstLine="480" w:firstLineChars="200"/>
              <w:rPr>
                <w:rFonts w:hint="default" w:ascii="Times New Roman" w:hAnsi="Times New Roman" w:eastAsia="宋体" w:cs="Times New Roman"/>
                <w:color w:val="auto"/>
                <w:sz w:val="24"/>
                <w:szCs w:val="24"/>
              </w:rPr>
            </w:pPr>
          </w:p>
          <w:p>
            <w:pPr>
              <w:spacing w:line="360" w:lineRule="auto"/>
              <w:ind w:firstLine="480" w:firstLineChars="200"/>
              <w:rPr>
                <w:rFonts w:hint="default" w:ascii="Times New Roman" w:hAnsi="Times New Roman" w:eastAsia="宋体" w:cs="Times New Roman"/>
                <w:color w:val="auto"/>
                <w:sz w:val="24"/>
                <w:szCs w:val="24"/>
              </w:rPr>
            </w:pPr>
          </w:p>
          <w:p>
            <w:pPr>
              <w:spacing w:line="360" w:lineRule="auto"/>
              <w:ind w:firstLine="480" w:firstLineChars="200"/>
              <w:rPr>
                <w:rFonts w:hint="default" w:ascii="Times New Roman" w:hAnsi="Times New Roman" w:eastAsia="宋体" w:cs="Times New Roman"/>
                <w:color w:val="auto"/>
                <w:sz w:val="24"/>
                <w:szCs w:val="24"/>
              </w:rPr>
            </w:pPr>
          </w:p>
          <w:p>
            <w:pPr>
              <w:spacing w:line="360" w:lineRule="auto"/>
              <w:ind w:firstLine="480" w:firstLineChars="200"/>
              <w:rPr>
                <w:rFonts w:hint="default" w:ascii="Times New Roman" w:hAnsi="Times New Roman" w:eastAsia="宋体" w:cs="Times New Roman"/>
                <w:color w:val="auto"/>
                <w:sz w:val="24"/>
                <w:szCs w:val="24"/>
              </w:rPr>
            </w:pPr>
          </w:p>
          <w:p>
            <w:pPr>
              <w:spacing w:line="360" w:lineRule="auto"/>
              <w:ind w:firstLine="480" w:firstLineChars="200"/>
              <w:rPr>
                <w:rFonts w:hint="default" w:ascii="Times New Roman" w:hAnsi="Times New Roman" w:eastAsia="宋体" w:cs="Times New Roman"/>
                <w:color w:val="auto"/>
                <w:sz w:val="24"/>
                <w:szCs w:val="24"/>
              </w:rPr>
            </w:pPr>
          </w:p>
          <w:p>
            <w:pPr>
              <w:spacing w:line="360" w:lineRule="auto"/>
              <w:rPr>
                <w:rFonts w:hint="default" w:ascii="Times New Roman" w:hAnsi="Times New Roman" w:eastAsia="宋体" w:cs="Times New Roman"/>
                <w:color w:val="auto"/>
                <w:sz w:val="24"/>
                <w:szCs w:val="24"/>
              </w:rPr>
            </w:pPr>
          </w:p>
        </w:tc>
      </w:tr>
    </w:tbl>
    <w:p>
      <w:pPr>
        <w:widowControl/>
        <w:jc w:val="left"/>
        <w:rPr>
          <w:rFonts w:hint="default" w:ascii="Times New Roman" w:hAnsi="Times New Roman" w:eastAsia="宋体" w:cs="Times New Roman"/>
          <w:color w:val="FF000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38"/>
        <w:adjustRightInd w:val="0"/>
        <w:snapToGrid w:val="0"/>
        <w:spacing w:before="0" w:beforeAutospacing="0" w:after="0" w:afterAutospacing="0"/>
        <w:rPr>
          <w:rFonts w:hint="default" w:ascii="Times New Roman" w:hAnsi="Times New Roman" w:eastAsia="宋体" w:cs="Times New Roman"/>
          <w:snapToGrid w:val="0"/>
          <w:color w:val="auto"/>
          <w:spacing w:val="-6"/>
          <w:kern w:val="21"/>
          <w:szCs w:val="21"/>
        </w:rPr>
      </w:pPr>
      <w:bookmarkStart w:id="15" w:name="_Toc9342"/>
      <w:r>
        <w:rPr>
          <w:rFonts w:hint="default" w:ascii="Times New Roman" w:hAnsi="Times New Roman" w:eastAsia="宋体" w:cs="Times New Roman"/>
          <w:snapToGrid w:val="0"/>
          <w:color w:val="auto"/>
          <w:sz w:val="32"/>
          <w:szCs w:val="32"/>
        </w:rPr>
        <w:t>附表</w:t>
      </w:r>
    </w:p>
    <w:p>
      <w:pPr>
        <w:pStyle w:val="2"/>
        <w:spacing w:line="360" w:lineRule="auto"/>
        <w:jc w:val="center"/>
        <w:rPr>
          <w:rFonts w:hint="default" w:ascii="Times New Roman" w:hAnsi="Times New Roman" w:eastAsia="宋体" w:cs="Times New Roman"/>
          <w:b w:val="0"/>
          <w:bCs/>
          <w:snapToGrid w:val="0"/>
          <w:color w:val="auto"/>
          <w:sz w:val="30"/>
          <w:szCs w:val="30"/>
        </w:rPr>
      </w:pPr>
      <w:r>
        <w:rPr>
          <w:rFonts w:hint="default" w:ascii="Times New Roman" w:hAnsi="Times New Roman" w:eastAsia="宋体" w:cs="Times New Roman"/>
          <w:b w:val="0"/>
          <w:bCs/>
          <w:snapToGrid w:val="0"/>
          <w:color w:val="auto"/>
          <w:sz w:val="30"/>
          <w:szCs w:val="30"/>
        </w:rPr>
        <w:t>建设项目污染物排放量汇总表</w:t>
      </w:r>
      <w:bookmarkEnd w:id="15"/>
    </w:p>
    <w:tbl>
      <w:tblPr>
        <w:tblStyle w:val="57"/>
        <w:tblW w:w="14005" w:type="dxa"/>
        <w:tblInd w:w="-15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376"/>
        <w:gridCol w:w="1261"/>
        <w:gridCol w:w="1495"/>
        <w:gridCol w:w="1482"/>
        <w:gridCol w:w="1559"/>
        <w:gridCol w:w="1418"/>
        <w:gridCol w:w="1842"/>
        <w:gridCol w:w="13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项目</w:t>
            </w:r>
          </w:p>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分类</w:t>
            </w:r>
          </w:p>
        </w:tc>
        <w:tc>
          <w:tcPr>
            <w:tcW w:w="237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污染物名称</w:t>
            </w:r>
          </w:p>
        </w:tc>
        <w:tc>
          <w:tcPr>
            <w:tcW w:w="126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49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许可排放量</w:t>
            </w:r>
          </w:p>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482"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w:t>
            </w:r>
          </w:p>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本项目</w:t>
            </w:r>
          </w:p>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41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41"/>
              <w:spacing w:before="24" w:line="300" w:lineRule="exact"/>
              <w:jc w:val="center"/>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以新带老削减量（新建项目不填）</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5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sz w:val="21"/>
                <w:szCs w:val="21"/>
              </w:rPr>
              <w:t>⑤</w:t>
            </w:r>
            <w:r>
              <w:rPr>
                <w:rFonts w:hint="default" w:ascii="Times New Roman" w:hAnsi="Times New Roman" w:eastAsia="宋体" w:cs="Times New Roman"/>
                <w:snapToGrid w:val="0"/>
                <w:color w:val="auto"/>
                <w:spacing w:val="-16"/>
                <w:kern w:val="21"/>
                <w:sz w:val="21"/>
                <w:szCs w:val="21"/>
              </w:rPr>
              <w:fldChar w:fldCharType="end"/>
            </w:r>
          </w:p>
        </w:tc>
        <w:tc>
          <w:tcPr>
            <w:tcW w:w="1842"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41"/>
              <w:spacing w:before="24" w:line="300" w:lineRule="exact"/>
              <w:jc w:val="center"/>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本项目建成后</w:t>
            </w:r>
          </w:p>
          <w:p>
            <w:pPr>
              <w:pStyle w:val="141"/>
              <w:spacing w:before="24" w:line="300" w:lineRule="exact"/>
              <w:jc w:val="center"/>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全厂排放量</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6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sz w:val="21"/>
                <w:szCs w:val="21"/>
              </w:rPr>
              <w:t>⑥</w:t>
            </w:r>
            <w:r>
              <w:rPr>
                <w:rFonts w:hint="default" w:ascii="Times New Roman" w:hAnsi="Times New Roman" w:eastAsia="宋体" w:cs="Times New Roman"/>
                <w:snapToGrid w:val="0"/>
                <w:color w:val="auto"/>
                <w:spacing w:val="-16"/>
                <w:kern w:val="21"/>
                <w:sz w:val="21"/>
                <w:szCs w:val="21"/>
              </w:rPr>
              <w:fldChar w:fldCharType="end"/>
            </w:r>
          </w:p>
        </w:tc>
        <w:tc>
          <w:tcPr>
            <w:tcW w:w="1351"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p>
          <w:p>
            <w:pPr>
              <w:pStyle w:val="141"/>
              <w:spacing w:before="24" w:line="300" w:lineRule="exact"/>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restart"/>
            <w:tcBorders>
              <w:left w:val="single" w:color="auto" w:sz="8" w:space="0"/>
              <w:right w:val="single" w:color="auto" w:sz="4" w:space="0"/>
            </w:tcBorders>
            <w:vAlign w:val="center"/>
          </w:tcPr>
          <w:p>
            <w:pPr>
              <w:pStyle w:val="141"/>
              <w:spacing w:before="24" w:line="300" w:lineRule="exact"/>
              <w:jc w:val="center"/>
              <w:rPr>
                <w:rFonts w:hint="eastAsia" w:ascii="Times New Roman" w:hAnsi="Times New Roman" w:eastAsia="宋体" w:cs="Times New Roman"/>
                <w:snapToGrid w:val="0"/>
                <w:color w:val="auto"/>
                <w:kern w:val="21"/>
                <w:sz w:val="21"/>
                <w:szCs w:val="21"/>
                <w:lang w:eastAsia="zh-CN"/>
              </w:rPr>
            </w:pPr>
            <w:r>
              <w:rPr>
                <w:rFonts w:hint="eastAsia" w:ascii="Times New Roman" w:hAnsi="Times New Roman" w:cs="Times New Roman"/>
                <w:snapToGrid w:val="0"/>
                <w:color w:val="auto"/>
                <w:kern w:val="21"/>
                <w:sz w:val="21"/>
                <w:szCs w:val="21"/>
                <w:lang w:eastAsia="zh-CN"/>
              </w:rPr>
              <w:t>废气</w:t>
            </w:r>
          </w:p>
        </w:tc>
        <w:tc>
          <w:tcPr>
            <w:tcW w:w="23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颗粒物</w:t>
            </w:r>
          </w:p>
        </w:tc>
        <w:tc>
          <w:tcPr>
            <w:tcW w:w="1261"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FF0000"/>
                <w:kern w:val="21"/>
                <w:sz w:val="21"/>
                <w:szCs w:val="21"/>
              </w:rPr>
            </w:pPr>
            <w:r>
              <w:rPr>
                <w:rFonts w:hint="default" w:ascii="Times New Roman" w:hAnsi="Times New Roman" w:eastAsia="宋体" w:cs="Times New Roman"/>
                <w:snapToGrid w:val="0"/>
                <w:color w:val="FF0000"/>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FF0000"/>
                <w:kern w:val="21"/>
                <w:sz w:val="21"/>
                <w:szCs w:val="21"/>
              </w:rPr>
            </w:pPr>
            <w:r>
              <w:rPr>
                <w:rFonts w:hint="default" w:ascii="Times New Roman" w:hAnsi="Times New Roman" w:eastAsia="宋体" w:cs="Times New Roman"/>
                <w:snapToGrid w:val="0"/>
                <w:color w:val="FF0000"/>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FF0000"/>
                <w:kern w:val="21"/>
                <w:sz w:val="21"/>
                <w:szCs w:val="21"/>
              </w:rPr>
            </w:pPr>
            <w:r>
              <w:rPr>
                <w:rFonts w:hint="default" w:ascii="Times New Roman" w:hAnsi="Times New Roman" w:eastAsia="宋体" w:cs="Times New Roman"/>
                <w:snapToGrid w:val="0"/>
                <w:color w:val="FF0000"/>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line="360" w:lineRule="exact"/>
              <w:jc w:val="center"/>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0.5647t/a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FF0000"/>
                <w:kern w:val="21"/>
                <w:sz w:val="21"/>
                <w:szCs w:val="21"/>
              </w:rPr>
            </w:pPr>
            <w:r>
              <w:rPr>
                <w:rFonts w:hint="default" w:ascii="Times New Roman" w:hAnsi="Times New Roman" w:eastAsia="宋体" w:cs="Times New Roman"/>
                <w:snapToGrid w:val="0"/>
                <w:color w:val="FF0000"/>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pStyle w:val="38"/>
              <w:widowControl w:val="0"/>
              <w:spacing w:before="0" w:beforeAutospacing="0" w:after="0" w:afterAutospacing="0" w:line="360" w:lineRule="exact"/>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0.5647t/a</w:t>
            </w:r>
          </w:p>
        </w:tc>
        <w:tc>
          <w:tcPr>
            <w:tcW w:w="1351" w:type="dxa"/>
            <w:tcBorders>
              <w:top w:val="single" w:color="auto" w:sz="4" w:space="0"/>
              <w:left w:val="single" w:color="auto" w:sz="4" w:space="0"/>
              <w:bottom w:val="single" w:color="auto" w:sz="4" w:space="0"/>
              <w:right w:val="single" w:color="auto" w:sz="8" w:space="0"/>
            </w:tcBorders>
            <w:vAlign w:val="center"/>
          </w:tcPr>
          <w:p>
            <w:pPr>
              <w:pStyle w:val="38"/>
              <w:widowControl w:val="0"/>
              <w:spacing w:before="0" w:beforeAutospacing="0" w:after="0" w:afterAutospacing="0" w:line="360" w:lineRule="exact"/>
              <w:jc w:val="center"/>
              <w:rPr>
                <w:rFonts w:hint="default" w:ascii="Times New Roman" w:hAnsi="Times New Roman" w:eastAsia="宋体" w:cs="Times New Roman"/>
                <w:snapToGrid w:val="0"/>
                <w:color w:val="FF0000"/>
                <w:kern w:val="21"/>
                <w:sz w:val="21"/>
                <w:szCs w:val="21"/>
              </w:rPr>
            </w:pPr>
            <w:r>
              <w:rPr>
                <w:rFonts w:hint="eastAsia" w:ascii="Times New Roman" w:hAnsi="Times New Roman" w:cs="Times New Roman"/>
                <w:color w:val="FF0000"/>
                <w:sz w:val="21"/>
                <w:szCs w:val="21"/>
                <w:lang w:val="en-US" w:eastAsia="zh-CN"/>
              </w:rPr>
              <w:t>+0.5647t/a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continue"/>
            <w:tcBorders>
              <w:left w:val="single" w:color="auto" w:sz="8"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p>
        </w:tc>
        <w:tc>
          <w:tcPr>
            <w:tcW w:w="23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氟化物</w:t>
            </w:r>
          </w:p>
        </w:tc>
        <w:tc>
          <w:tcPr>
            <w:tcW w:w="1261"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FF0000"/>
                <w:kern w:val="21"/>
                <w:sz w:val="21"/>
                <w:szCs w:val="21"/>
              </w:rPr>
            </w:pPr>
            <w:r>
              <w:rPr>
                <w:rFonts w:hint="default" w:ascii="Times New Roman" w:hAnsi="Times New Roman" w:eastAsia="宋体" w:cs="Times New Roman"/>
                <w:snapToGrid w:val="0"/>
                <w:color w:val="FF0000"/>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FF0000"/>
                <w:kern w:val="21"/>
                <w:sz w:val="21"/>
                <w:szCs w:val="21"/>
              </w:rPr>
            </w:pPr>
            <w:r>
              <w:rPr>
                <w:rFonts w:hint="default" w:ascii="Times New Roman" w:hAnsi="Times New Roman" w:eastAsia="宋体" w:cs="Times New Roman"/>
                <w:snapToGrid w:val="0"/>
                <w:color w:val="FF0000"/>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FF0000"/>
                <w:kern w:val="21"/>
                <w:sz w:val="21"/>
                <w:szCs w:val="21"/>
              </w:rPr>
            </w:pPr>
            <w:r>
              <w:rPr>
                <w:rFonts w:hint="default" w:ascii="Times New Roman" w:hAnsi="Times New Roman" w:eastAsia="宋体" w:cs="Times New Roman"/>
                <w:snapToGrid w:val="0"/>
                <w:color w:val="FF0000"/>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pacing w:before="0" w:beforeAutospacing="0" w:after="0" w:afterAutospacing="0" w:line="360" w:lineRule="exact"/>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0.0014t/a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FF0000"/>
                <w:kern w:val="21"/>
                <w:sz w:val="21"/>
                <w:szCs w:val="21"/>
              </w:rPr>
            </w:pPr>
            <w:r>
              <w:rPr>
                <w:rFonts w:hint="default" w:ascii="Times New Roman" w:hAnsi="Times New Roman" w:eastAsia="宋体" w:cs="Times New Roman"/>
                <w:snapToGrid w:val="0"/>
                <w:color w:val="FF0000"/>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val="0"/>
              <w:spacing w:before="0" w:beforeAutospacing="0" w:after="0" w:afterAutospacing="0" w:line="360" w:lineRule="exact"/>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0.0014t/a</w:t>
            </w:r>
          </w:p>
        </w:tc>
        <w:tc>
          <w:tcPr>
            <w:tcW w:w="1351" w:type="dxa"/>
            <w:tcBorders>
              <w:top w:val="single" w:color="auto" w:sz="4" w:space="0"/>
              <w:left w:val="single" w:color="auto" w:sz="4" w:space="0"/>
              <w:bottom w:val="single" w:color="auto" w:sz="4" w:space="0"/>
              <w:right w:val="single" w:color="auto" w:sz="8" w:space="0"/>
            </w:tcBorders>
            <w:vAlign w:val="center"/>
          </w:tcPr>
          <w:p>
            <w:pPr>
              <w:widowControl w:val="0"/>
              <w:spacing w:before="0" w:beforeAutospacing="0" w:after="0" w:afterAutospacing="0" w:line="360" w:lineRule="exact"/>
              <w:jc w:val="center"/>
              <w:rPr>
                <w:rFonts w:hint="default" w:ascii="Times New Roman" w:hAnsi="Times New Roman" w:eastAsia="宋体" w:cs="Times New Roman"/>
                <w:snapToGrid w:val="0"/>
                <w:color w:val="FF0000"/>
                <w:kern w:val="21"/>
                <w:sz w:val="21"/>
                <w:szCs w:val="21"/>
              </w:rPr>
            </w:pPr>
            <w:r>
              <w:rPr>
                <w:rFonts w:hint="eastAsia" w:ascii="Times New Roman" w:hAnsi="Times New Roman" w:cs="Times New Roman"/>
                <w:color w:val="FF0000"/>
                <w:sz w:val="21"/>
                <w:szCs w:val="21"/>
                <w:lang w:val="en-US" w:eastAsia="zh-CN"/>
              </w:rPr>
              <w:t>+0.0014t/a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restart"/>
            <w:tcBorders>
              <w:top w:val="single" w:color="auto" w:sz="4" w:space="0"/>
              <w:left w:val="single" w:color="auto" w:sz="8" w:space="0"/>
              <w:right w:val="single" w:color="auto" w:sz="4" w:space="0"/>
            </w:tcBorders>
            <w:vAlign w:val="center"/>
          </w:tcPr>
          <w:p>
            <w:pPr>
              <w:pStyle w:val="141"/>
              <w:spacing w:before="24" w:line="300" w:lineRule="exact"/>
              <w:jc w:val="center"/>
              <w:rPr>
                <w:rFonts w:hint="eastAsia" w:ascii="Times New Roman" w:hAnsi="Times New Roman" w:eastAsia="宋体" w:cs="Times New Roman"/>
                <w:snapToGrid w:val="0"/>
                <w:color w:val="auto"/>
                <w:kern w:val="21"/>
                <w:sz w:val="21"/>
                <w:szCs w:val="21"/>
                <w:lang w:eastAsia="zh-CN"/>
              </w:rPr>
            </w:pPr>
            <w:r>
              <w:rPr>
                <w:rFonts w:hint="eastAsia" w:ascii="Times New Roman" w:hAnsi="Times New Roman" w:cs="Times New Roman"/>
                <w:snapToGrid w:val="0"/>
                <w:color w:val="auto"/>
                <w:kern w:val="21"/>
                <w:sz w:val="21"/>
                <w:szCs w:val="21"/>
                <w:lang w:eastAsia="zh-CN"/>
              </w:rPr>
              <w:t>废水</w:t>
            </w:r>
          </w:p>
        </w:tc>
        <w:tc>
          <w:tcPr>
            <w:tcW w:w="237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废水总量</w:t>
            </w:r>
          </w:p>
        </w:tc>
        <w:tc>
          <w:tcPr>
            <w:tcW w:w="1261"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360t/a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color w:val="auto"/>
                <w:lang w:val="en-US" w:eastAsia="zh-CN"/>
              </w:rPr>
            </w:pPr>
            <w:r>
              <w:rPr>
                <w:rFonts w:hint="eastAsia" w:ascii="Times New Roman" w:hAnsi="Times New Roman" w:eastAsia="宋体" w:cs="Times New Roman"/>
                <w:snapToGrid w:val="0"/>
                <w:color w:val="auto"/>
                <w:kern w:val="21"/>
                <w:sz w:val="21"/>
                <w:szCs w:val="21"/>
                <w:lang w:val="en-US" w:eastAsia="zh-CN"/>
              </w:rPr>
              <w:t>360t/a</w:t>
            </w:r>
          </w:p>
        </w:tc>
        <w:tc>
          <w:tcPr>
            <w:tcW w:w="1351" w:type="dxa"/>
            <w:tcBorders>
              <w:top w:val="single" w:color="auto" w:sz="4" w:space="0"/>
              <w:left w:val="single" w:color="auto" w:sz="4" w:space="0"/>
              <w:bottom w:val="single" w:color="auto" w:sz="4" w:space="0"/>
              <w:right w:val="single" w:color="auto" w:sz="8" w:space="0"/>
            </w:tcBorders>
            <w:vAlign w:val="center"/>
          </w:tcPr>
          <w:p>
            <w:pPr>
              <w:widowControl/>
              <w:jc w:val="center"/>
              <w:textAlignment w:val="top"/>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+360t/a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continue"/>
            <w:tcBorders>
              <w:left w:val="single" w:color="auto" w:sz="8"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p>
        </w:tc>
        <w:tc>
          <w:tcPr>
            <w:tcW w:w="237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261"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0.07t/a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0.07t/a</w:t>
            </w:r>
          </w:p>
        </w:tc>
        <w:tc>
          <w:tcPr>
            <w:tcW w:w="1351" w:type="dxa"/>
            <w:tcBorders>
              <w:top w:val="single" w:color="auto" w:sz="4" w:space="0"/>
              <w:left w:val="single" w:color="auto" w:sz="4" w:space="0"/>
              <w:bottom w:val="single" w:color="auto" w:sz="4" w:space="0"/>
              <w:right w:val="single" w:color="auto" w:sz="8" w:space="0"/>
            </w:tcBorders>
            <w:vAlign w:val="center"/>
          </w:tcPr>
          <w:p>
            <w:pPr>
              <w:widowControl/>
              <w:jc w:val="center"/>
              <w:textAlignment w:val="top"/>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+0.07t/a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continue"/>
            <w:tcBorders>
              <w:left w:val="single" w:color="auto" w:sz="8"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p>
        </w:tc>
        <w:tc>
          <w:tcPr>
            <w:tcW w:w="237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p>
        </w:tc>
        <w:tc>
          <w:tcPr>
            <w:tcW w:w="1261"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0.036t/a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0.036t/a</w:t>
            </w:r>
          </w:p>
        </w:tc>
        <w:tc>
          <w:tcPr>
            <w:tcW w:w="1351" w:type="dxa"/>
            <w:tcBorders>
              <w:top w:val="single" w:color="auto" w:sz="4" w:space="0"/>
              <w:left w:val="single" w:color="auto" w:sz="4" w:space="0"/>
              <w:bottom w:val="single" w:color="auto" w:sz="4" w:space="0"/>
              <w:right w:val="single" w:color="auto" w:sz="8" w:space="0"/>
            </w:tcBorders>
            <w:vAlign w:val="center"/>
          </w:tcPr>
          <w:p>
            <w:pPr>
              <w:widowControl/>
              <w:jc w:val="center"/>
              <w:textAlignment w:val="top"/>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+0.036t/a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continue"/>
            <w:tcBorders>
              <w:left w:val="single" w:color="auto" w:sz="8"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p>
        </w:tc>
        <w:tc>
          <w:tcPr>
            <w:tcW w:w="237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261"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0.043t/a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0.043t/a</w:t>
            </w:r>
          </w:p>
        </w:tc>
        <w:tc>
          <w:tcPr>
            <w:tcW w:w="1351" w:type="dxa"/>
            <w:tcBorders>
              <w:top w:val="single" w:color="auto" w:sz="4" w:space="0"/>
              <w:left w:val="single" w:color="auto" w:sz="4" w:space="0"/>
              <w:bottom w:val="single" w:color="auto" w:sz="4" w:space="0"/>
              <w:right w:val="single" w:color="auto" w:sz="8" w:space="0"/>
            </w:tcBorders>
            <w:vAlign w:val="center"/>
          </w:tcPr>
          <w:p>
            <w:pPr>
              <w:widowControl/>
              <w:jc w:val="center"/>
              <w:textAlignment w:val="top"/>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+0.043t/a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continue"/>
            <w:tcBorders>
              <w:left w:val="single" w:color="auto" w:sz="8"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p>
        </w:tc>
        <w:tc>
          <w:tcPr>
            <w:tcW w:w="237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261"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0.008t/a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0.008t/a</w:t>
            </w:r>
          </w:p>
        </w:tc>
        <w:tc>
          <w:tcPr>
            <w:tcW w:w="1351" w:type="dxa"/>
            <w:tcBorders>
              <w:top w:val="single" w:color="auto" w:sz="4" w:space="0"/>
              <w:left w:val="single" w:color="auto" w:sz="4" w:space="0"/>
              <w:bottom w:val="single" w:color="auto" w:sz="4" w:space="0"/>
              <w:right w:val="single" w:color="auto" w:sz="8" w:space="0"/>
            </w:tcBorders>
            <w:vAlign w:val="center"/>
          </w:tcPr>
          <w:p>
            <w:pPr>
              <w:widowControl/>
              <w:jc w:val="center"/>
              <w:textAlignment w:val="top"/>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+0.008t/a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continue"/>
            <w:tcBorders>
              <w:left w:val="single" w:color="auto" w:sz="8"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p>
        </w:tc>
        <w:tc>
          <w:tcPr>
            <w:tcW w:w="237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TN</w:t>
            </w:r>
          </w:p>
        </w:tc>
        <w:tc>
          <w:tcPr>
            <w:tcW w:w="1261"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0.016t/a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0.016t/a</w:t>
            </w:r>
          </w:p>
        </w:tc>
        <w:tc>
          <w:tcPr>
            <w:tcW w:w="1351" w:type="dxa"/>
            <w:tcBorders>
              <w:top w:val="single" w:color="auto" w:sz="4" w:space="0"/>
              <w:left w:val="single" w:color="auto" w:sz="4" w:space="0"/>
              <w:bottom w:val="single" w:color="auto" w:sz="4" w:space="0"/>
              <w:right w:val="single" w:color="auto" w:sz="8" w:space="0"/>
            </w:tcBorders>
            <w:vAlign w:val="center"/>
          </w:tcPr>
          <w:p>
            <w:pPr>
              <w:widowControl/>
              <w:jc w:val="center"/>
              <w:textAlignment w:val="top"/>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+0.016t/a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continue"/>
            <w:tcBorders>
              <w:left w:val="single" w:color="auto" w:sz="8"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p>
        </w:tc>
        <w:tc>
          <w:tcPr>
            <w:tcW w:w="237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TP</w:t>
            </w:r>
          </w:p>
        </w:tc>
        <w:tc>
          <w:tcPr>
            <w:tcW w:w="1261"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0.001t/a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0.001t/a</w:t>
            </w:r>
          </w:p>
        </w:tc>
        <w:tc>
          <w:tcPr>
            <w:tcW w:w="1351" w:type="dxa"/>
            <w:tcBorders>
              <w:top w:val="single" w:color="auto" w:sz="4" w:space="0"/>
              <w:left w:val="single" w:color="auto" w:sz="4" w:space="0"/>
              <w:bottom w:val="single" w:color="auto" w:sz="4" w:space="0"/>
              <w:right w:val="single" w:color="auto" w:sz="8" w:space="0"/>
            </w:tcBorders>
            <w:vAlign w:val="center"/>
          </w:tcPr>
          <w:p>
            <w:pPr>
              <w:widowControl/>
              <w:jc w:val="center"/>
              <w:textAlignment w:val="top"/>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continue"/>
            <w:tcBorders>
              <w:left w:val="single" w:color="auto" w:sz="8"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p>
        </w:tc>
        <w:tc>
          <w:tcPr>
            <w:tcW w:w="237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动植物油</w:t>
            </w:r>
          </w:p>
        </w:tc>
        <w:tc>
          <w:tcPr>
            <w:tcW w:w="1261"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0.005t/a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0.005t/a</w:t>
            </w:r>
          </w:p>
        </w:tc>
        <w:tc>
          <w:tcPr>
            <w:tcW w:w="1351" w:type="dxa"/>
            <w:tcBorders>
              <w:top w:val="single" w:color="auto" w:sz="4" w:space="0"/>
              <w:left w:val="single" w:color="auto" w:sz="4" w:space="0"/>
              <w:bottom w:val="single" w:color="auto" w:sz="4" w:space="0"/>
              <w:right w:val="single" w:color="auto" w:sz="8" w:space="0"/>
            </w:tcBorders>
            <w:vAlign w:val="center"/>
          </w:tcPr>
          <w:p>
            <w:pPr>
              <w:widowControl/>
              <w:jc w:val="center"/>
              <w:textAlignment w:val="top"/>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restart"/>
            <w:tcBorders>
              <w:top w:val="single" w:color="auto" w:sz="4" w:space="0"/>
              <w:left w:val="single" w:color="auto" w:sz="8" w:space="0"/>
              <w:right w:val="single" w:color="auto" w:sz="4" w:space="0"/>
            </w:tcBorders>
            <w:vAlign w:val="center"/>
          </w:tcPr>
          <w:p>
            <w:pPr>
              <w:widowControl/>
              <w:spacing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一般工业固体废物</w:t>
            </w:r>
          </w:p>
        </w:tc>
        <w:tc>
          <w:tcPr>
            <w:tcW w:w="23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rPr>
              <w:t>废包装材料</w:t>
            </w:r>
          </w:p>
        </w:tc>
        <w:tc>
          <w:tcPr>
            <w:tcW w:w="1261"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1.5</w:t>
            </w:r>
            <w:r>
              <w:rPr>
                <w:rFonts w:hint="default" w:ascii="Times New Roman" w:hAnsi="Times New Roman" w:eastAsia="宋体" w:cs="Times New Roman"/>
                <w:snapToGrid w:val="0"/>
                <w:color w:val="auto"/>
                <w:kern w:val="21"/>
                <w:sz w:val="21"/>
                <w:szCs w:val="21"/>
              </w:rPr>
              <w:t>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1.5</w:t>
            </w:r>
            <w:r>
              <w:rPr>
                <w:rFonts w:hint="default" w:ascii="Times New Roman" w:hAnsi="Times New Roman" w:eastAsia="宋体" w:cs="Times New Roman"/>
                <w:snapToGrid w:val="0"/>
                <w:color w:val="auto"/>
                <w:kern w:val="21"/>
                <w:sz w:val="21"/>
                <w:szCs w:val="21"/>
              </w:rPr>
              <w:t>t/a</w:t>
            </w:r>
          </w:p>
        </w:tc>
        <w:tc>
          <w:tcPr>
            <w:tcW w:w="1351" w:type="dxa"/>
            <w:tcBorders>
              <w:top w:val="single" w:color="auto" w:sz="4" w:space="0"/>
              <w:left w:val="single" w:color="auto" w:sz="4" w:space="0"/>
              <w:bottom w:val="single" w:color="auto" w:sz="4" w:space="0"/>
              <w:right w:val="single" w:color="auto" w:sz="8" w:space="0"/>
            </w:tcBorders>
            <w:vAlign w:val="center"/>
          </w:tcPr>
          <w:p>
            <w:pPr>
              <w:pStyle w:val="141"/>
              <w:spacing w:before="24" w:line="30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snapToGrid w:val="0"/>
                <w:color w:val="auto"/>
                <w:kern w:val="21"/>
                <w:sz w:val="21"/>
                <w:szCs w:val="21"/>
                <w:lang w:val="en-US" w:eastAsia="zh-CN"/>
              </w:rPr>
              <w:t>+1.5</w:t>
            </w:r>
            <w:r>
              <w:rPr>
                <w:rFonts w:hint="default" w:ascii="Times New Roman" w:hAnsi="Times New Roman" w:eastAsia="宋体"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continue"/>
            <w:tcBorders>
              <w:left w:val="single" w:color="auto" w:sz="8" w:space="0"/>
              <w:right w:val="single" w:color="auto" w:sz="4" w:space="0"/>
            </w:tcBorders>
            <w:vAlign w:val="center"/>
          </w:tcPr>
          <w:p>
            <w:pPr>
              <w:widowControl/>
              <w:spacing w:line="300" w:lineRule="exact"/>
              <w:jc w:val="center"/>
              <w:rPr>
                <w:rFonts w:hint="default" w:ascii="Times New Roman" w:hAnsi="Times New Roman" w:eastAsia="宋体" w:cs="Times New Roman"/>
                <w:snapToGrid w:val="0"/>
                <w:color w:val="auto"/>
                <w:kern w:val="21"/>
                <w:sz w:val="21"/>
                <w:szCs w:val="21"/>
              </w:rPr>
            </w:pPr>
          </w:p>
        </w:tc>
        <w:tc>
          <w:tcPr>
            <w:tcW w:w="23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废布袋</w:t>
            </w:r>
          </w:p>
        </w:tc>
        <w:tc>
          <w:tcPr>
            <w:tcW w:w="1261"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95"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82"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0.4</w:t>
            </w:r>
            <w:r>
              <w:rPr>
                <w:rFonts w:hint="default" w:ascii="Times New Roman" w:hAnsi="Times New Roman" w:eastAsia="宋体" w:cs="Times New Roman"/>
                <w:snapToGrid w:val="0"/>
                <w:color w:val="auto"/>
                <w:kern w:val="21"/>
                <w:sz w:val="21"/>
                <w:szCs w:val="21"/>
              </w:rPr>
              <w:t>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0.4</w:t>
            </w:r>
            <w:r>
              <w:rPr>
                <w:rFonts w:hint="default" w:ascii="Times New Roman" w:hAnsi="Times New Roman" w:eastAsia="宋体" w:cs="Times New Roman"/>
                <w:snapToGrid w:val="0"/>
                <w:color w:val="auto"/>
                <w:kern w:val="21"/>
                <w:sz w:val="21"/>
                <w:szCs w:val="21"/>
              </w:rPr>
              <w:t>t/a</w:t>
            </w:r>
          </w:p>
        </w:tc>
        <w:tc>
          <w:tcPr>
            <w:tcW w:w="1351" w:type="dxa"/>
            <w:tcBorders>
              <w:top w:val="single" w:color="auto" w:sz="4" w:space="0"/>
              <w:left w:val="single" w:color="auto" w:sz="4" w:space="0"/>
              <w:bottom w:val="single" w:color="auto" w:sz="4" w:space="0"/>
              <w:right w:val="single" w:color="auto" w:sz="8"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+0.4</w:t>
            </w:r>
            <w:r>
              <w:rPr>
                <w:rFonts w:hint="default" w:ascii="Times New Roman" w:hAnsi="Times New Roman" w:eastAsia="宋体"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continue"/>
            <w:tcBorders>
              <w:left w:val="single" w:color="auto" w:sz="8" w:space="0"/>
              <w:right w:val="single" w:color="auto" w:sz="4" w:space="0"/>
            </w:tcBorders>
            <w:vAlign w:val="center"/>
          </w:tcPr>
          <w:p>
            <w:pPr>
              <w:widowControl/>
              <w:spacing w:line="300" w:lineRule="exact"/>
              <w:jc w:val="center"/>
              <w:rPr>
                <w:rFonts w:hint="default" w:ascii="Times New Roman" w:hAnsi="Times New Roman" w:eastAsia="宋体" w:cs="Times New Roman"/>
                <w:snapToGrid w:val="0"/>
                <w:color w:val="auto"/>
                <w:kern w:val="21"/>
                <w:sz w:val="21"/>
                <w:szCs w:val="21"/>
              </w:rPr>
            </w:pPr>
          </w:p>
        </w:tc>
        <w:tc>
          <w:tcPr>
            <w:tcW w:w="23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废污泥</w:t>
            </w:r>
          </w:p>
        </w:tc>
        <w:tc>
          <w:tcPr>
            <w:tcW w:w="1261"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495"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482"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0.03</w:t>
            </w:r>
            <w:r>
              <w:rPr>
                <w:rFonts w:hint="default" w:ascii="Times New Roman" w:hAnsi="Times New Roman" w:eastAsia="宋体" w:cs="Times New Roman"/>
                <w:snapToGrid w:val="0"/>
                <w:color w:val="auto"/>
                <w:kern w:val="21"/>
                <w:sz w:val="21"/>
                <w:szCs w:val="21"/>
              </w:rPr>
              <w:t>t/a</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842" w:type="dxa"/>
            <w:tcBorders>
              <w:top w:val="single" w:color="auto" w:sz="4" w:space="0"/>
              <w:left w:val="single" w:color="auto" w:sz="4" w:space="0"/>
              <w:bottom w:val="single" w:color="auto" w:sz="4" w:space="0"/>
              <w:right w:val="single" w:color="auto" w:sz="4"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0.03</w:t>
            </w:r>
            <w:r>
              <w:rPr>
                <w:rFonts w:hint="default" w:ascii="Times New Roman" w:hAnsi="Times New Roman" w:eastAsia="宋体" w:cs="Times New Roman"/>
                <w:snapToGrid w:val="0"/>
                <w:color w:val="auto"/>
                <w:kern w:val="21"/>
                <w:sz w:val="21"/>
                <w:szCs w:val="21"/>
              </w:rPr>
              <w:t>t/a</w:t>
            </w:r>
          </w:p>
        </w:tc>
        <w:tc>
          <w:tcPr>
            <w:tcW w:w="1351" w:type="dxa"/>
            <w:tcBorders>
              <w:top w:val="single" w:color="auto" w:sz="4" w:space="0"/>
              <w:left w:val="single" w:color="auto" w:sz="4" w:space="0"/>
              <w:bottom w:val="single" w:color="auto" w:sz="4" w:space="0"/>
              <w:right w:val="single" w:color="auto" w:sz="8" w:space="0"/>
            </w:tcBorders>
            <w:vAlign w:val="center"/>
          </w:tcPr>
          <w:p>
            <w:pPr>
              <w:pStyle w:val="141"/>
              <w:spacing w:before="24" w:line="300" w:lineRule="exact"/>
              <w:jc w:val="center"/>
              <w:rPr>
                <w:rFonts w:hint="default" w:ascii="Times New Roman" w:hAnsi="Times New Roman" w:eastAsia="宋体"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+0.03</w:t>
            </w:r>
            <w:r>
              <w:rPr>
                <w:rFonts w:hint="default" w:ascii="Times New Roman" w:hAnsi="Times New Roman" w:eastAsia="宋体"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restart"/>
            <w:tcBorders>
              <w:left w:val="single" w:color="auto" w:sz="8" w:space="0"/>
              <w:right w:val="single" w:color="auto" w:sz="4" w:space="0"/>
            </w:tcBorders>
            <w:vAlign w:val="center"/>
          </w:tcPr>
          <w:p>
            <w:pPr>
              <w:widowControl/>
              <w:spacing w:line="300" w:lineRule="exact"/>
              <w:jc w:val="center"/>
              <w:rPr>
                <w:rFonts w:hint="eastAsia" w:ascii="Times New Roman" w:hAnsi="Times New Roman" w:eastAsia="宋体"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eastAsia="zh-CN"/>
              </w:rPr>
              <w:t>危险废物</w:t>
            </w:r>
          </w:p>
        </w:tc>
        <w:tc>
          <w:tcPr>
            <w:tcW w:w="23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废机油</w:t>
            </w:r>
          </w:p>
        </w:tc>
        <w:tc>
          <w:tcPr>
            <w:tcW w:w="1261"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495"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482"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141"/>
              <w:spacing w:before="24" w:line="300" w:lineRule="exact"/>
              <w:jc w:val="center"/>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0.1t</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842" w:type="dxa"/>
            <w:tcBorders>
              <w:top w:val="single" w:color="auto" w:sz="4" w:space="0"/>
              <w:left w:val="single" w:color="auto" w:sz="4" w:space="0"/>
              <w:bottom w:val="single" w:color="auto" w:sz="4" w:space="0"/>
              <w:right w:val="single" w:color="auto" w:sz="4" w:space="0"/>
            </w:tcBorders>
            <w:vAlign w:val="center"/>
          </w:tcPr>
          <w:p>
            <w:pPr>
              <w:pStyle w:val="141"/>
              <w:spacing w:before="24" w:line="300" w:lineRule="exact"/>
              <w:jc w:val="center"/>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0.1t</w:t>
            </w:r>
          </w:p>
        </w:tc>
        <w:tc>
          <w:tcPr>
            <w:tcW w:w="1351" w:type="dxa"/>
            <w:tcBorders>
              <w:top w:val="single" w:color="auto" w:sz="4" w:space="0"/>
              <w:left w:val="single" w:color="auto" w:sz="4" w:space="0"/>
              <w:bottom w:val="single" w:color="auto" w:sz="4" w:space="0"/>
              <w:right w:val="single" w:color="auto" w:sz="8" w:space="0"/>
            </w:tcBorders>
            <w:vAlign w:val="center"/>
          </w:tcPr>
          <w:p>
            <w:pPr>
              <w:pStyle w:val="141"/>
              <w:spacing w:before="24" w:line="300" w:lineRule="exact"/>
              <w:jc w:val="center"/>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+0.1t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Merge w:val="continue"/>
            <w:tcBorders>
              <w:left w:val="single" w:color="auto" w:sz="8" w:space="0"/>
              <w:right w:val="single" w:color="auto" w:sz="4" w:space="0"/>
            </w:tcBorders>
            <w:vAlign w:val="center"/>
          </w:tcPr>
          <w:p>
            <w:pPr>
              <w:widowControl/>
              <w:spacing w:line="300" w:lineRule="exact"/>
              <w:jc w:val="center"/>
              <w:rPr>
                <w:rFonts w:hint="eastAsia" w:ascii="Times New Roman" w:hAnsi="Times New Roman" w:eastAsia="宋体" w:cs="Times New Roman"/>
                <w:snapToGrid w:val="0"/>
                <w:color w:val="auto"/>
                <w:kern w:val="21"/>
                <w:sz w:val="21"/>
                <w:szCs w:val="21"/>
                <w:lang w:eastAsia="zh-CN"/>
              </w:rPr>
            </w:pPr>
          </w:p>
        </w:tc>
        <w:tc>
          <w:tcPr>
            <w:tcW w:w="23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废机油桶</w:t>
            </w:r>
          </w:p>
        </w:tc>
        <w:tc>
          <w:tcPr>
            <w:tcW w:w="1261"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495"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482"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141"/>
              <w:spacing w:before="24" w:line="300" w:lineRule="exact"/>
              <w:jc w:val="center"/>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0.05t</w:t>
            </w:r>
          </w:p>
        </w:tc>
        <w:tc>
          <w:tcPr>
            <w:tcW w:w="1418" w:type="dxa"/>
            <w:tcBorders>
              <w:top w:val="single" w:color="auto" w:sz="4" w:space="0"/>
              <w:left w:val="single" w:color="auto" w:sz="4" w:space="0"/>
              <w:bottom w:val="single" w:color="auto" w:sz="4" w:space="0"/>
              <w:right w:val="single" w:color="auto" w:sz="4" w:space="0"/>
            </w:tcBorders>
            <w:vAlign w:val="center"/>
          </w:tcPr>
          <w:p>
            <w:pPr>
              <w:spacing w:before="24" w:line="300" w:lineRule="exact"/>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842" w:type="dxa"/>
            <w:tcBorders>
              <w:top w:val="single" w:color="auto" w:sz="4" w:space="0"/>
              <w:left w:val="single" w:color="auto" w:sz="4" w:space="0"/>
              <w:bottom w:val="single" w:color="auto" w:sz="4" w:space="0"/>
              <w:right w:val="single" w:color="auto" w:sz="4" w:space="0"/>
            </w:tcBorders>
            <w:vAlign w:val="center"/>
          </w:tcPr>
          <w:p>
            <w:pPr>
              <w:pStyle w:val="141"/>
              <w:spacing w:before="24" w:line="300" w:lineRule="exact"/>
              <w:jc w:val="center"/>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0.05t</w:t>
            </w:r>
          </w:p>
        </w:tc>
        <w:tc>
          <w:tcPr>
            <w:tcW w:w="1351" w:type="dxa"/>
            <w:tcBorders>
              <w:top w:val="single" w:color="auto" w:sz="4" w:space="0"/>
              <w:left w:val="single" w:color="auto" w:sz="4" w:space="0"/>
              <w:bottom w:val="single" w:color="auto" w:sz="4" w:space="0"/>
              <w:right w:val="single" w:color="auto" w:sz="8" w:space="0"/>
            </w:tcBorders>
            <w:vAlign w:val="center"/>
          </w:tcPr>
          <w:p>
            <w:pPr>
              <w:pStyle w:val="141"/>
              <w:spacing w:before="24" w:line="300" w:lineRule="exact"/>
              <w:jc w:val="center"/>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+0.05t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1" w:type="dxa"/>
            <w:vAlign w:val="center"/>
          </w:tcPr>
          <w:p>
            <w:pPr>
              <w:widowControl/>
              <w:spacing w:line="300" w:lineRule="exact"/>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职工生活垃圾</w:t>
            </w:r>
          </w:p>
        </w:tc>
        <w:tc>
          <w:tcPr>
            <w:tcW w:w="2376" w:type="dxa"/>
            <w:vAlign w:val="center"/>
          </w:tcPr>
          <w:p>
            <w:pPr>
              <w:pStyle w:val="17"/>
              <w:widowControl/>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生活垃圾</w:t>
            </w:r>
          </w:p>
        </w:tc>
        <w:tc>
          <w:tcPr>
            <w:tcW w:w="1261" w:type="dxa"/>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95" w:type="dxa"/>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82" w:type="dxa"/>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vAlign w:val="center"/>
          </w:tcPr>
          <w:p>
            <w:pPr>
              <w:pStyle w:val="17"/>
              <w:widowControl/>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2.25</w:t>
            </w:r>
            <w:r>
              <w:rPr>
                <w:rFonts w:hint="default" w:ascii="Times New Roman" w:hAnsi="Times New Roman" w:eastAsia="宋体" w:cs="Times New Roman"/>
                <w:snapToGrid w:val="0"/>
                <w:color w:val="auto"/>
                <w:kern w:val="21"/>
                <w:sz w:val="21"/>
                <w:szCs w:val="21"/>
              </w:rPr>
              <w:t>t/a</w:t>
            </w:r>
          </w:p>
        </w:tc>
        <w:tc>
          <w:tcPr>
            <w:tcW w:w="1418" w:type="dxa"/>
            <w:vAlign w:val="center"/>
          </w:tcPr>
          <w:p>
            <w:pPr>
              <w:spacing w:before="24" w:line="30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842" w:type="dxa"/>
            <w:vAlign w:val="center"/>
          </w:tcPr>
          <w:p>
            <w:pPr>
              <w:pStyle w:val="17"/>
              <w:widowControl/>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2.25</w:t>
            </w:r>
            <w:r>
              <w:rPr>
                <w:rFonts w:hint="default" w:ascii="Times New Roman" w:hAnsi="Times New Roman" w:eastAsia="宋体" w:cs="Times New Roman"/>
                <w:snapToGrid w:val="0"/>
                <w:color w:val="auto"/>
                <w:kern w:val="21"/>
                <w:sz w:val="21"/>
                <w:szCs w:val="21"/>
              </w:rPr>
              <w:t>t/a</w:t>
            </w:r>
          </w:p>
        </w:tc>
        <w:tc>
          <w:tcPr>
            <w:tcW w:w="1351" w:type="dxa"/>
            <w:vAlign w:val="center"/>
          </w:tcPr>
          <w:p>
            <w:pPr>
              <w:pStyle w:val="17"/>
              <w:widowControl/>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napToGrid w:val="0"/>
                <w:color w:val="auto"/>
                <w:kern w:val="21"/>
                <w:sz w:val="21"/>
                <w:szCs w:val="21"/>
                <w:lang w:val="en-US" w:eastAsia="zh-CN"/>
              </w:rPr>
              <w:t>+2.25</w:t>
            </w:r>
            <w:r>
              <w:rPr>
                <w:rFonts w:hint="default" w:ascii="Times New Roman" w:hAnsi="Times New Roman" w:eastAsia="宋体" w:cs="Times New Roman"/>
                <w:snapToGrid w:val="0"/>
                <w:color w:val="auto"/>
                <w:kern w:val="21"/>
                <w:sz w:val="21"/>
                <w:szCs w:val="21"/>
              </w:rPr>
              <w:t>t/a</w:t>
            </w:r>
          </w:p>
        </w:tc>
      </w:tr>
    </w:tbl>
    <w:p>
      <w:pPr>
        <w:pStyle w:val="624"/>
        <w:ind w:firstLine="0" w:firstLineChars="0"/>
        <w:rPr>
          <w:rFonts w:hint="default" w:ascii="Times New Roman" w:hAnsi="Times New Roman" w:eastAsia="宋体" w:cs="Times New Roman"/>
          <w:snapToGrid w:val="0"/>
          <w:color w:val="auto"/>
          <w:sz w:val="38"/>
          <w:szCs w:val="38"/>
        </w:rPr>
      </w:pPr>
      <w:r>
        <w:rPr>
          <w:rFonts w:hint="default" w:ascii="Times New Roman" w:hAnsi="Times New Roman" w:eastAsia="宋体" w:cs="Times New Roman"/>
          <w:snapToGrid w:val="0"/>
          <w:color w:val="auto"/>
        </w:rPr>
        <w:t>注：</w:t>
      </w:r>
      <w:r>
        <w:rPr>
          <w:rFonts w:hint="default" w:ascii="Times New Roman" w:hAnsi="Times New Roman" w:eastAsia="宋体" w:cs="Times New Roman"/>
          <w:b/>
          <w:snapToGrid w:val="0"/>
          <w:color w:val="auto"/>
          <w:spacing w:val="-16"/>
        </w:rPr>
        <w:fldChar w:fldCharType="begin"/>
      </w:r>
      <w:r>
        <w:rPr>
          <w:rFonts w:hint="default" w:ascii="Times New Roman" w:hAnsi="Times New Roman" w:eastAsia="宋体" w:cs="Times New Roman"/>
          <w:snapToGrid w:val="0"/>
          <w:color w:val="auto"/>
          <w:spacing w:val="-16"/>
        </w:rPr>
        <w:instrText xml:space="preserve"> = 6 \* GB3 \* MERGEFORMAT </w:instrText>
      </w:r>
      <w:r>
        <w:rPr>
          <w:rFonts w:hint="default" w:ascii="Times New Roman" w:hAnsi="Times New Roman" w:eastAsia="宋体" w:cs="Times New Roman"/>
          <w:b/>
          <w:snapToGrid w:val="0"/>
          <w:color w:val="auto"/>
          <w:spacing w:val="-16"/>
        </w:rPr>
        <w:fldChar w:fldCharType="separate"/>
      </w:r>
      <w:r>
        <w:rPr>
          <w:rFonts w:hint="default" w:ascii="Times New Roman" w:hAnsi="Times New Roman" w:eastAsia="宋体" w:cs="Times New Roman"/>
          <w:color w:val="auto"/>
        </w:rPr>
        <w:t>⑥</w:t>
      </w:r>
      <w:r>
        <w:rPr>
          <w:rFonts w:hint="default" w:ascii="Times New Roman" w:hAnsi="Times New Roman" w:eastAsia="宋体" w:cs="Times New Roman"/>
          <w:b/>
          <w:snapToGrid w:val="0"/>
          <w:color w:val="auto"/>
          <w:spacing w:val="-16"/>
        </w:rPr>
        <w:fldChar w:fldCharType="end"/>
      </w:r>
      <w:r>
        <w:rPr>
          <w:rFonts w:hint="default" w:ascii="Times New Roman" w:hAnsi="Times New Roman" w:eastAsia="宋体" w:cs="Times New Roman"/>
          <w:snapToGrid w:val="0"/>
          <w:color w:val="auto"/>
          <w:spacing w:val="-16"/>
        </w:rPr>
        <w:t>=</w:t>
      </w:r>
      <w:r>
        <w:rPr>
          <w:rFonts w:hint="default" w:ascii="Times New Roman" w:hAnsi="Times New Roman" w:eastAsia="宋体" w:cs="Times New Roman"/>
          <w:b/>
          <w:snapToGrid w:val="0"/>
          <w:color w:val="auto"/>
        </w:rPr>
        <w:fldChar w:fldCharType="begin"/>
      </w:r>
      <w:r>
        <w:rPr>
          <w:rFonts w:hint="default" w:ascii="Times New Roman" w:hAnsi="Times New Roman" w:eastAsia="宋体" w:cs="Times New Roman"/>
          <w:snapToGrid w:val="0"/>
          <w:color w:val="auto"/>
        </w:rPr>
        <w:instrText xml:space="preserve"> = 1 \* GB3 \* MERGEFORMAT </w:instrText>
      </w:r>
      <w:r>
        <w:rPr>
          <w:rFonts w:hint="default" w:ascii="Times New Roman" w:hAnsi="Times New Roman" w:eastAsia="宋体" w:cs="Times New Roman"/>
          <w:b/>
          <w:snapToGrid w:val="0"/>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b/>
          <w:snapToGrid w:val="0"/>
          <w:color w:val="auto"/>
        </w:rPr>
        <w:fldChar w:fldCharType="end"/>
      </w:r>
      <w:r>
        <w:rPr>
          <w:rFonts w:hint="default" w:ascii="Times New Roman" w:hAnsi="Times New Roman" w:eastAsia="宋体" w:cs="Times New Roman"/>
          <w:snapToGrid w:val="0"/>
          <w:color w:val="auto"/>
        </w:rPr>
        <w:t>+</w:t>
      </w:r>
      <w:r>
        <w:rPr>
          <w:rFonts w:hint="default" w:ascii="Times New Roman" w:hAnsi="Times New Roman" w:eastAsia="宋体" w:cs="Times New Roman"/>
          <w:b/>
          <w:snapToGrid w:val="0"/>
          <w:color w:val="auto"/>
        </w:rPr>
        <w:fldChar w:fldCharType="begin"/>
      </w:r>
      <w:r>
        <w:rPr>
          <w:rFonts w:hint="default" w:ascii="Times New Roman" w:hAnsi="Times New Roman" w:eastAsia="宋体" w:cs="Times New Roman"/>
          <w:snapToGrid w:val="0"/>
          <w:color w:val="auto"/>
        </w:rPr>
        <w:instrText xml:space="preserve"> = 3 \* GB3 \* MERGEFORMAT </w:instrText>
      </w:r>
      <w:r>
        <w:rPr>
          <w:rFonts w:hint="default" w:ascii="Times New Roman" w:hAnsi="Times New Roman" w:eastAsia="宋体" w:cs="Times New Roman"/>
          <w:b/>
          <w:snapToGrid w:val="0"/>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b/>
          <w:snapToGrid w:val="0"/>
          <w:color w:val="auto"/>
        </w:rPr>
        <w:fldChar w:fldCharType="end"/>
      </w:r>
      <w:r>
        <w:rPr>
          <w:rFonts w:hint="default" w:ascii="Times New Roman" w:hAnsi="Times New Roman" w:eastAsia="宋体" w:cs="Times New Roman"/>
          <w:snapToGrid w:val="0"/>
          <w:color w:val="auto"/>
        </w:rPr>
        <w:t>+</w:t>
      </w:r>
      <w:r>
        <w:rPr>
          <w:rFonts w:hint="default" w:ascii="Times New Roman" w:hAnsi="Times New Roman" w:eastAsia="宋体" w:cs="Times New Roman"/>
          <w:b/>
          <w:snapToGrid w:val="0"/>
          <w:color w:val="auto"/>
        </w:rPr>
        <w:fldChar w:fldCharType="begin"/>
      </w:r>
      <w:r>
        <w:rPr>
          <w:rFonts w:hint="default" w:ascii="Times New Roman" w:hAnsi="Times New Roman" w:eastAsia="宋体" w:cs="Times New Roman"/>
          <w:snapToGrid w:val="0"/>
          <w:color w:val="auto"/>
        </w:rPr>
        <w:instrText xml:space="preserve"> = 4 \* GB3 \* MERGEFORMAT </w:instrText>
      </w:r>
      <w:r>
        <w:rPr>
          <w:rFonts w:hint="default" w:ascii="Times New Roman" w:hAnsi="Times New Roman" w:eastAsia="宋体" w:cs="Times New Roman"/>
          <w:b/>
          <w:snapToGrid w:val="0"/>
          <w:color w:val="auto"/>
        </w:rPr>
        <w:fldChar w:fldCharType="separate"/>
      </w:r>
      <w:r>
        <w:rPr>
          <w:rFonts w:hint="default" w:ascii="Times New Roman" w:hAnsi="Times New Roman" w:eastAsia="宋体" w:cs="Times New Roman"/>
          <w:color w:val="auto"/>
        </w:rPr>
        <w:t>④</w:t>
      </w:r>
      <w:r>
        <w:rPr>
          <w:rFonts w:hint="default" w:ascii="Times New Roman" w:hAnsi="Times New Roman" w:eastAsia="宋体" w:cs="Times New Roman"/>
          <w:b/>
          <w:snapToGrid w:val="0"/>
          <w:color w:val="auto"/>
        </w:rPr>
        <w:fldChar w:fldCharType="end"/>
      </w:r>
      <w:r>
        <w:rPr>
          <w:rFonts w:hint="default" w:ascii="Times New Roman" w:hAnsi="Times New Roman" w:eastAsia="宋体" w:cs="Times New Roman"/>
          <w:snapToGrid w:val="0"/>
          <w:color w:val="auto"/>
        </w:rPr>
        <w:t>-</w:t>
      </w:r>
      <w:r>
        <w:rPr>
          <w:rFonts w:hint="default" w:ascii="Times New Roman" w:hAnsi="Times New Roman" w:eastAsia="宋体" w:cs="Times New Roman"/>
          <w:b/>
          <w:snapToGrid w:val="0"/>
          <w:color w:val="auto"/>
          <w:spacing w:val="-16"/>
        </w:rPr>
        <w:fldChar w:fldCharType="begin"/>
      </w:r>
      <w:r>
        <w:rPr>
          <w:rFonts w:hint="default" w:ascii="Times New Roman" w:hAnsi="Times New Roman" w:eastAsia="宋体" w:cs="Times New Roman"/>
          <w:snapToGrid w:val="0"/>
          <w:color w:val="auto"/>
          <w:spacing w:val="-16"/>
        </w:rPr>
        <w:instrText xml:space="preserve"> = 5 \* GB3 \* MERGEFORMAT </w:instrText>
      </w:r>
      <w:r>
        <w:rPr>
          <w:rFonts w:hint="default" w:ascii="Times New Roman" w:hAnsi="Times New Roman" w:eastAsia="宋体" w:cs="Times New Roman"/>
          <w:b/>
          <w:snapToGrid w:val="0"/>
          <w:color w:val="auto"/>
          <w:spacing w:val="-16"/>
        </w:rPr>
        <w:fldChar w:fldCharType="separate"/>
      </w:r>
      <w:r>
        <w:rPr>
          <w:rFonts w:hint="default" w:ascii="Times New Roman" w:hAnsi="Times New Roman" w:eastAsia="宋体" w:cs="Times New Roman"/>
          <w:color w:val="auto"/>
        </w:rPr>
        <w:t>⑤</w:t>
      </w:r>
      <w:r>
        <w:rPr>
          <w:rFonts w:hint="default" w:ascii="Times New Roman" w:hAnsi="Times New Roman" w:eastAsia="宋体" w:cs="Times New Roman"/>
          <w:b/>
          <w:snapToGrid w:val="0"/>
          <w:color w:val="auto"/>
          <w:spacing w:val="-16"/>
        </w:rPr>
        <w:fldChar w:fldCharType="end"/>
      </w:r>
      <w:r>
        <w:rPr>
          <w:rFonts w:hint="default" w:ascii="Times New Roman" w:hAnsi="Times New Roman" w:eastAsia="宋体" w:cs="Times New Roman"/>
          <w:snapToGrid w:val="0"/>
          <w:color w:val="auto"/>
          <w:spacing w:val="-16"/>
        </w:rPr>
        <w:t>；</w:t>
      </w:r>
      <w:r>
        <w:rPr>
          <w:rFonts w:hint="default" w:ascii="Times New Roman" w:hAnsi="Times New Roman" w:eastAsia="宋体" w:cs="Times New Roman"/>
          <w:b/>
          <w:snapToGrid w:val="0"/>
          <w:color w:val="auto"/>
        </w:rPr>
        <w:fldChar w:fldCharType="begin"/>
      </w:r>
      <w:r>
        <w:rPr>
          <w:rFonts w:hint="default" w:ascii="Times New Roman" w:hAnsi="Times New Roman" w:eastAsia="宋体" w:cs="Times New Roman"/>
          <w:snapToGrid w:val="0"/>
          <w:color w:val="auto"/>
        </w:rPr>
        <w:instrText xml:space="preserve"> = 7 \* GB3 \* MERGEFORMAT </w:instrText>
      </w:r>
      <w:r>
        <w:rPr>
          <w:rFonts w:hint="default" w:ascii="Times New Roman" w:hAnsi="Times New Roman" w:eastAsia="宋体" w:cs="Times New Roman"/>
          <w:b/>
          <w:snapToGrid w:val="0"/>
          <w:color w:val="auto"/>
        </w:rPr>
        <w:fldChar w:fldCharType="separate"/>
      </w:r>
      <w:r>
        <w:rPr>
          <w:rFonts w:hint="default" w:ascii="Times New Roman" w:hAnsi="Times New Roman" w:eastAsia="宋体" w:cs="Times New Roman"/>
          <w:color w:val="auto"/>
        </w:rPr>
        <w:t>⑦</w:t>
      </w:r>
      <w:r>
        <w:rPr>
          <w:rFonts w:hint="default" w:ascii="Times New Roman" w:hAnsi="Times New Roman" w:eastAsia="宋体" w:cs="Times New Roman"/>
          <w:b/>
          <w:snapToGrid w:val="0"/>
          <w:color w:val="auto"/>
        </w:rPr>
        <w:fldChar w:fldCharType="end"/>
      </w:r>
      <w:r>
        <w:rPr>
          <w:rFonts w:hint="default" w:ascii="Times New Roman" w:hAnsi="Times New Roman" w:eastAsia="宋体" w:cs="Times New Roman"/>
          <w:snapToGrid w:val="0"/>
          <w:color w:val="auto"/>
        </w:rPr>
        <w:t>=</w:t>
      </w:r>
      <w:r>
        <w:rPr>
          <w:rFonts w:hint="default" w:ascii="Times New Roman" w:hAnsi="Times New Roman" w:eastAsia="宋体" w:cs="Times New Roman"/>
          <w:b/>
          <w:snapToGrid w:val="0"/>
          <w:color w:val="auto"/>
          <w:spacing w:val="-16"/>
        </w:rPr>
        <w:fldChar w:fldCharType="begin"/>
      </w:r>
      <w:r>
        <w:rPr>
          <w:rFonts w:hint="default" w:ascii="Times New Roman" w:hAnsi="Times New Roman" w:eastAsia="宋体" w:cs="Times New Roman"/>
          <w:snapToGrid w:val="0"/>
          <w:color w:val="auto"/>
          <w:spacing w:val="-16"/>
        </w:rPr>
        <w:instrText xml:space="preserve"> = 6 \* GB3 \* MERGEFORMAT </w:instrText>
      </w:r>
      <w:r>
        <w:rPr>
          <w:rFonts w:hint="default" w:ascii="Times New Roman" w:hAnsi="Times New Roman" w:eastAsia="宋体" w:cs="Times New Roman"/>
          <w:b/>
          <w:snapToGrid w:val="0"/>
          <w:color w:val="auto"/>
          <w:spacing w:val="-16"/>
        </w:rPr>
        <w:fldChar w:fldCharType="separate"/>
      </w:r>
      <w:r>
        <w:rPr>
          <w:rFonts w:hint="default" w:ascii="Times New Roman" w:hAnsi="Times New Roman" w:eastAsia="宋体" w:cs="Times New Roman"/>
          <w:color w:val="auto"/>
        </w:rPr>
        <w:t>⑥</w:t>
      </w:r>
      <w:r>
        <w:rPr>
          <w:rFonts w:hint="default" w:ascii="Times New Roman" w:hAnsi="Times New Roman" w:eastAsia="宋体" w:cs="Times New Roman"/>
          <w:b/>
          <w:snapToGrid w:val="0"/>
          <w:color w:val="auto"/>
          <w:spacing w:val="-16"/>
        </w:rPr>
        <w:fldChar w:fldCharType="end"/>
      </w:r>
      <w:r>
        <w:rPr>
          <w:rFonts w:hint="default" w:ascii="Times New Roman" w:hAnsi="Times New Roman" w:eastAsia="宋体" w:cs="Times New Roman"/>
          <w:snapToGrid w:val="0"/>
          <w:color w:val="auto"/>
          <w:spacing w:val="-16"/>
        </w:rPr>
        <w:t>-</w:t>
      </w:r>
      <w:r>
        <w:rPr>
          <w:rFonts w:hint="default" w:ascii="Times New Roman" w:hAnsi="Times New Roman" w:eastAsia="宋体" w:cs="Times New Roman"/>
          <w:b/>
          <w:snapToGrid w:val="0"/>
          <w:color w:val="auto"/>
        </w:rPr>
        <w:fldChar w:fldCharType="begin"/>
      </w:r>
      <w:r>
        <w:rPr>
          <w:rFonts w:hint="default" w:ascii="Times New Roman" w:hAnsi="Times New Roman" w:eastAsia="宋体" w:cs="Times New Roman"/>
          <w:snapToGrid w:val="0"/>
          <w:color w:val="auto"/>
        </w:rPr>
        <w:instrText xml:space="preserve"> = 1 \* GB3 \* MERGEFORMAT </w:instrText>
      </w:r>
      <w:r>
        <w:rPr>
          <w:rFonts w:hint="default" w:ascii="Times New Roman" w:hAnsi="Times New Roman" w:eastAsia="宋体" w:cs="Times New Roman"/>
          <w:b/>
          <w:snapToGrid w:val="0"/>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b/>
          <w:snapToGrid w:val="0"/>
          <w:color w:val="auto"/>
        </w:rPr>
        <w:fldChar w:fldCharType="end"/>
      </w:r>
      <w:r>
        <w:rPr>
          <w:rFonts w:hint="default" w:ascii="Times New Roman" w:hAnsi="Times New Roman" w:eastAsia="宋体" w:cs="Times New Roman"/>
          <w:snapToGrid w:val="0"/>
          <w:color w:val="auto"/>
        </w:rPr>
        <w:t>；</w:t>
      </w:r>
    </w:p>
    <w:sectPr>
      <w:pgSz w:w="16838" w:h="11906" w:orient="landscape"/>
      <w:pgMar w:top="1797" w:right="1440" w:bottom="1797" w:left="1440" w:header="102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华文楷体">
    <w:altName w:val="宋体"/>
    <w:panose1 w:val="02010600040101010101"/>
    <w:charset w:val="86"/>
    <w:family w:val="auto"/>
    <w:pitch w:val="default"/>
    <w:sig w:usb0="00000000" w:usb1="00000000" w:usb2="00000000" w:usb3="00000000" w:csb0="0004009F" w:csb1="DFD70000"/>
  </w:font>
  <w:font w:name="Georgia">
    <w:panose1 w:val="02040502050405020303"/>
    <w:charset w:val="00"/>
    <w:family w:val="roman"/>
    <w:pitch w:val="default"/>
    <w:sig w:usb0="00000287" w:usb1="00000000" w:usb2="00000000" w:usb3="00000000" w:csb0="200000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CG Times (WN)">
    <w:altName w:val="Times New Roman"/>
    <w:panose1 w:val="00000000000000000000"/>
    <w:charset w:val="00"/>
    <w:family w:val="auto"/>
    <w:pitch w:val="default"/>
    <w:sig w:usb0="00000000" w:usb1="00000000" w:usb2="00000000" w:usb3="00000000" w:csb0="00000001" w:csb1="00000000"/>
  </w:font>
  <w:font w:name="方正黑体_GBK">
    <w:altName w:val="微软雅黑"/>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汉鼎简书宋">
    <w:altName w:val="宋体"/>
    <w:panose1 w:val="00000000000000000000"/>
    <w:charset w:val="86"/>
    <w:family w:val="moder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TimesNewRoman">
    <w:altName w:val="微软雅黑"/>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10" w:usb3="00000000" w:csb0="0006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Times New Roman" w:hAnsi="Times New Roman"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37"/>
                    </w:pPr>
                    <w:r>
                      <w:fldChar w:fldCharType="begin"/>
                    </w:r>
                    <w:r>
                      <w:instrText xml:space="preserve"> PAGE  \* MERGEFORMAT </w:instrText>
                    </w:r>
                    <w:r>
                      <w:fldChar w:fldCharType="separate"/>
                    </w:r>
                    <w:r>
                      <w:t>3</w:t>
                    </w:r>
                    <w:r>
                      <w:fldChar w:fldCharType="end"/>
                    </w:r>
                  </w:p>
                </w:txbxContent>
              </v:textbox>
            </v:shape>
          </w:pict>
        </mc:Fallback>
      </mc:AlternateContent>
    </w:r>
  </w:p>
  <w:p>
    <w:pPr>
      <w:pStyle w:val="37"/>
      <w:tabs>
        <w:tab w:val="left" w:pos="1037"/>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pPr>
  </w:p>
  <w:p>
    <w:pPr>
      <w:pStyle w:val="3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Times New Roman" w:hAnsi="Times New Roman"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37"/>
                    </w:pPr>
                    <w:r>
                      <w:fldChar w:fldCharType="begin"/>
                    </w:r>
                    <w:r>
                      <w:instrText xml:space="preserve"> PAGE  \* MERGEFORMAT </w:instrText>
                    </w:r>
                    <w:r>
                      <w:fldChar w:fldCharType="separate"/>
                    </w:r>
                    <w:r>
                      <w:t>4</w:t>
                    </w:r>
                    <w:r>
                      <w:fldChar w:fldCharType="end"/>
                    </w:r>
                  </w:p>
                </w:txbxContent>
              </v:textbox>
            </v:shape>
          </w:pict>
        </mc:Fallback>
      </mc:AlternateContent>
    </w:r>
  </w:p>
  <w:p>
    <w:pPr>
      <w:pStyle w:val="37"/>
      <w:tabs>
        <w:tab w:val="left" w:pos="1037"/>
        <w:tab w:val="clear" w:pos="4153"/>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82C5B8"/>
    <w:multiLevelType w:val="singleLevel"/>
    <w:tmpl w:val="9082C5B8"/>
    <w:lvl w:ilvl="0" w:tentative="0">
      <w:start w:val="1"/>
      <w:numFmt w:val="decimal"/>
      <w:suff w:val="nothing"/>
      <w:lvlText w:val="表1-%1"/>
      <w:lvlJc w:val="left"/>
      <w:pPr>
        <w:tabs>
          <w:tab w:val="left" w:pos="0"/>
        </w:tabs>
      </w:pPr>
      <w:rPr>
        <w:rFonts w:hint="default" w:ascii="Times New Roman" w:hAnsi="Times New Roman" w:eastAsia="宋体" w:cs="宋体"/>
        <w:b/>
        <w:sz w:val="21"/>
      </w:rPr>
    </w:lvl>
  </w:abstractNum>
  <w:abstractNum w:abstractNumId="1">
    <w:nsid w:val="DD0EB95F"/>
    <w:multiLevelType w:val="singleLevel"/>
    <w:tmpl w:val="DD0EB95F"/>
    <w:lvl w:ilvl="0" w:tentative="0">
      <w:start w:val="2"/>
      <w:numFmt w:val="decimal"/>
      <w:suff w:val="nothing"/>
      <w:lvlText w:val="%1、"/>
      <w:lvlJc w:val="left"/>
    </w:lvl>
  </w:abstractNum>
  <w:abstractNum w:abstractNumId="2">
    <w:nsid w:val="1C4F2EA1"/>
    <w:multiLevelType w:val="singleLevel"/>
    <w:tmpl w:val="1C4F2EA1"/>
    <w:lvl w:ilvl="0" w:tentative="0">
      <w:start w:val="1"/>
      <w:numFmt w:val="decimal"/>
      <w:suff w:val="nothing"/>
      <w:lvlText w:val="%1）"/>
      <w:lvlJc w:val="left"/>
    </w:lvl>
  </w:abstractNum>
  <w:abstractNum w:abstractNumId="3">
    <w:nsid w:val="3E048563"/>
    <w:multiLevelType w:val="singleLevel"/>
    <w:tmpl w:val="3E048563"/>
    <w:lvl w:ilvl="0" w:tentative="0">
      <w:start w:val="1"/>
      <w:numFmt w:val="decimal"/>
      <w:suff w:val="nothing"/>
      <w:lvlText w:val="表2-%1 "/>
      <w:lvlJc w:val="left"/>
      <w:pPr>
        <w:tabs>
          <w:tab w:val="left" w:pos="0"/>
        </w:tabs>
        <w:ind w:left="0" w:firstLine="403"/>
      </w:pPr>
      <w:rPr>
        <w:rFonts w:hint="default" w:ascii="Times New Roman" w:hAnsi="Times New Roman" w:eastAsia="宋体" w:cs="宋体"/>
        <w:b/>
        <w:sz w:val="21"/>
      </w:rPr>
    </w:lvl>
  </w:abstractNum>
  <w:abstractNum w:abstractNumId="4">
    <w:nsid w:val="7B7D4D4F"/>
    <w:multiLevelType w:val="singleLevel"/>
    <w:tmpl w:val="7B7D4D4F"/>
    <w:lvl w:ilvl="0" w:tentative="0">
      <w:start w:val="1"/>
      <w:numFmt w:val="decimal"/>
      <w:suff w:val="nothing"/>
      <w:lvlText w:val="%1、"/>
      <w:lvlJc w:val="left"/>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1ODgwY2U5NzBjYWI2M2Y4NTliMDA3ZDU3Mzg3MTcifQ=="/>
  </w:docVars>
  <w:rsids>
    <w:rsidRoot w:val="00172A27"/>
    <w:rsid w:val="000013B6"/>
    <w:rsid w:val="00002A5B"/>
    <w:rsid w:val="00002D96"/>
    <w:rsid w:val="00003FCC"/>
    <w:rsid w:val="0000433A"/>
    <w:rsid w:val="00007506"/>
    <w:rsid w:val="00010203"/>
    <w:rsid w:val="000109DF"/>
    <w:rsid w:val="00011F22"/>
    <w:rsid w:val="00013E7C"/>
    <w:rsid w:val="00016433"/>
    <w:rsid w:val="00017ECF"/>
    <w:rsid w:val="00017F89"/>
    <w:rsid w:val="00020709"/>
    <w:rsid w:val="00020EF4"/>
    <w:rsid w:val="00021A36"/>
    <w:rsid w:val="00021A7E"/>
    <w:rsid w:val="00021B08"/>
    <w:rsid w:val="00022617"/>
    <w:rsid w:val="00025B6E"/>
    <w:rsid w:val="00026CC2"/>
    <w:rsid w:val="0002747E"/>
    <w:rsid w:val="00027CF5"/>
    <w:rsid w:val="00030E22"/>
    <w:rsid w:val="00031318"/>
    <w:rsid w:val="000315E6"/>
    <w:rsid w:val="00032860"/>
    <w:rsid w:val="00034758"/>
    <w:rsid w:val="00036D6B"/>
    <w:rsid w:val="00036DA2"/>
    <w:rsid w:val="00036F18"/>
    <w:rsid w:val="0003748D"/>
    <w:rsid w:val="0003797F"/>
    <w:rsid w:val="00037F86"/>
    <w:rsid w:val="000423D4"/>
    <w:rsid w:val="00043512"/>
    <w:rsid w:val="00043699"/>
    <w:rsid w:val="00043CF9"/>
    <w:rsid w:val="00046CA0"/>
    <w:rsid w:val="00046EBC"/>
    <w:rsid w:val="0005002B"/>
    <w:rsid w:val="0005369C"/>
    <w:rsid w:val="00053A5F"/>
    <w:rsid w:val="00053FDF"/>
    <w:rsid w:val="00054C3B"/>
    <w:rsid w:val="00056685"/>
    <w:rsid w:val="00056733"/>
    <w:rsid w:val="00062934"/>
    <w:rsid w:val="000629D2"/>
    <w:rsid w:val="0006397F"/>
    <w:rsid w:val="000639F4"/>
    <w:rsid w:val="0006461E"/>
    <w:rsid w:val="00065579"/>
    <w:rsid w:val="000659EF"/>
    <w:rsid w:val="00065B8D"/>
    <w:rsid w:val="00065BFB"/>
    <w:rsid w:val="00070A7A"/>
    <w:rsid w:val="00071549"/>
    <w:rsid w:val="00072E33"/>
    <w:rsid w:val="000732F1"/>
    <w:rsid w:val="00073579"/>
    <w:rsid w:val="00076193"/>
    <w:rsid w:val="00076D29"/>
    <w:rsid w:val="00076E39"/>
    <w:rsid w:val="0007759A"/>
    <w:rsid w:val="000813E3"/>
    <w:rsid w:val="00082BB1"/>
    <w:rsid w:val="00083BE3"/>
    <w:rsid w:val="00084C52"/>
    <w:rsid w:val="0008592E"/>
    <w:rsid w:val="0008688B"/>
    <w:rsid w:val="00090FBC"/>
    <w:rsid w:val="0009121F"/>
    <w:rsid w:val="00092D3B"/>
    <w:rsid w:val="00092E75"/>
    <w:rsid w:val="00094196"/>
    <w:rsid w:val="000A21AD"/>
    <w:rsid w:val="000A2F4D"/>
    <w:rsid w:val="000A44D2"/>
    <w:rsid w:val="000A56C4"/>
    <w:rsid w:val="000A5B0D"/>
    <w:rsid w:val="000B0D6A"/>
    <w:rsid w:val="000B1086"/>
    <w:rsid w:val="000B1EC8"/>
    <w:rsid w:val="000B393A"/>
    <w:rsid w:val="000B4D66"/>
    <w:rsid w:val="000C07C3"/>
    <w:rsid w:val="000C09D2"/>
    <w:rsid w:val="000C0B3F"/>
    <w:rsid w:val="000C1FB9"/>
    <w:rsid w:val="000C2086"/>
    <w:rsid w:val="000C23BB"/>
    <w:rsid w:val="000C3325"/>
    <w:rsid w:val="000C40E4"/>
    <w:rsid w:val="000C4A6A"/>
    <w:rsid w:val="000C5185"/>
    <w:rsid w:val="000C6D97"/>
    <w:rsid w:val="000D08D1"/>
    <w:rsid w:val="000D1285"/>
    <w:rsid w:val="000D1CC6"/>
    <w:rsid w:val="000D2F44"/>
    <w:rsid w:val="000D4077"/>
    <w:rsid w:val="000D4850"/>
    <w:rsid w:val="000D7A82"/>
    <w:rsid w:val="000E2115"/>
    <w:rsid w:val="000E290B"/>
    <w:rsid w:val="000E71AF"/>
    <w:rsid w:val="000F0346"/>
    <w:rsid w:val="000F1905"/>
    <w:rsid w:val="000F26C3"/>
    <w:rsid w:val="000F304D"/>
    <w:rsid w:val="000F3496"/>
    <w:rsid w:val="000F6AE4"/>
    <w:rsid w:val="000F6C88"/>
    <w:rsid w:val="000F779C"/>
    <w:rsid w:val="001030E6"/>
    <w:rsid w:val="00105021"/>
    <w:rsid w:val="00107044"/>
    <w:rsid w:val="001071B2"/>
    <w:rsid w:val="00110A3D"/>
    <w:rsid w:val="001123D2"/>
    <w:rsid w:val="00113030"/>
    <w:rsid w:val="001131B4"/>
    <w:rsid w:val="001152CD"/>
    <w:rsid w:val="001154DE"/>
    <w:rsid w:val="00116803"/>
    <w:rsid w:val="00117999"/>
    <w:rsid w:val="00117B92"/>
    <w:rsid w:val="001204C7"/>
    <w:rsid w:val="00120702"/>
    <w:rsid w:val="00121FE3"/>
    <w:rsid w:val="00123E01"/>
    <w:rsid w:val="00124A13"/>
    <w:rsid w:val="00125956"/>
    <w:rsid w:val="00125C53"/>
    <w:rsid w:val="001273B1"/>
    <w:rsid w:val="00127721"/>
    <w:rsid w:val="00130E6D"/>
    <w:rsid w:val="00130FA1"/>
    <w:rsid w:val="001310BA"/>
    <w:rsid w:val="00131967"/>
    <w:rsid w:val="00133E0F"/>
    <w:rsid w:val="001341DF"/>
    <w:rsid w:val="00134290"/>
    <w:rsid w:val="001354DA"/>
    <w:rsid w:val="00136872"/>
    <w:rsid w:val="001378C1"/>
    <w:rsid w:val="0014237A"/>
    <w:rsid w:val="001431D5"/>
    <w:rsid w:val="001444CB"/>
    <w:rsid w:val="0014538B"/>
    <w:rsid w:val="00145B56"/>
    <w:rsid w:val="00145E9A"/>
    <w:rsid w:val="0014673C"/>
    <w:rsid w:val="00147D6F"/>
    <w:rsid w:val="00147ECC"/>
    <w:rsid w:val="00147F85"/>
    <w:rsid w:val="00150551"/>
    <w:rsid w:val="00150C4C"/>
    <w:rsid w:val="00151660"/>
    <w:rsid w:val="001525AF"/>
    <w:rsid w:val="00154C33"/>
    <w:rsid w:val="00155C94"/>
    <w:rsid w:val="00157D73"/>
    <w:rsid w:val="00160A45"/>
    <w:rsid w:val="00160E27"/>
    <w:rsid w:val="001618D6"/>
    <w:rsid w:val="0016391A"/>
    <w:rsid w:val="001667AB"/>
    <w:rsid w:val="001671DE"/>
    <w:rsid w:val="00171165"/>
    <w:rsid w:val="00171D6E"/>
    <w:rsid w:val="00172A27"/>
    <w:rsid w:val="00173F71"/>
    <w:rsid w:val="001762AA"/>
    <w:rsid w:val="00176623"/>
    <w:rsid w:val="00176BCC"/>
    <w:rsid w:val="00177F06"/>
    <w:rsid w:val="0018024D"/>
    <w:rsid w:val="00184629"/>
    <w:rsid w:val="00185139"/>
    <w:rsid w:val="0018541E"/>
    <w:rsid w:val="00190618"/>
    <w:rsid w:val="00193AD5"/>
    <w:rsid w:val="00194BEE"/>
    <w:rsid w:val="001A07A9"/>
    <w:rsid w:val="001A0BA2"/>
    <w:rsid w:val="001A3104"/>
    <w:rsid w:val="001A5875"/>
    <w:rsid w:val="001A6558"/>
    <w:rsid w:val="001A6C18"/>
    <w:rsid w:val="001B1CF8"/>
    <w:rsid w:val="001B2C9C"/>
    <w:rsid w:val="001B4205"/>
    <w:rsid w:val="001B7EB1"/>
    <w:rsid w:val="001C0003"/>
    <w:rsid w:val="001C0E41"/>
    <w:rsid w:val="001C1C10"/>
    <w:rsid w:val="001C2E69"/>
    <w:rsid w:val="001C2F84"/>
    <w:rsid w:val="001C3F62"/>
    <w:rsid w:val="001C7960"/>
    <w:rsid w:val="001C7F32"/>
    <w:rsid w:val="001D26F6"/>
    <w:rsid w:val="001D5EC4"/>
    <w:rsid w:val="001D6816"/>
    <w:rsid w:val="001D7A4C"/>
    <w:rsid w:val="001E2C3F"/>
    <w:rsid w:val="001E4035"/>
    <w:rsid w:val="001E4DCA"/>
    <w:rsid w:val="001E5A7A"/>
    <w:rsid w:val="001F1DA9"/>
    <w:rsid w:val="001F3274"/>
    <w:rsid w:val="001F3293"/>
    <w:rsid w:val="001F3B25"/>
    <w:rsid w:val="001F3C36"/>
    <w:rsid w:val="001F7AB6"/>
    <w:rsid w:val="002030E7"/>
    <w:rsid w:val="00203DB2"/>
    <w:rsid w:val="00204886"/>
    <w:rsid w:val="00205158"/>
    <w:rsid w:val="00205FF5"/>
    <w:rsid w:val="0020660C"/>
    <w:rsid w:val="002102FE"/>
    <w:rsid w:val="00210992"/>
    <w:rsid w:val="00212221"/>
    <w:rsid w:val="002145C1"/>
    <w:rsid w:val="00214702"/>
    <w:rsid w:val="00215397"/>
    <w:rsid w:val="002169BB"/>
    <w:rsid w:val="00217997"/>
    <w:rsid w:val="0022006A"/>
    <w:rsid w:val="00220C0A"/>
    <w:rsid w:val="0022173C"/>
    <w:rsid w:val="0022405C"/>
    <w:rsid w:val="00224F55"/>
    <w:rsid w:val="00225754"/>
    <w:rsid w:val="00227AF2"/>
    <w:rsid w:val="00231250"/>
    <w:rsid w:val="00231CA4"/>
    <w:rsid w:val="00231EFC"/>
    <w:rsid w:val="002327F7"/>
    <w:rsid w:val="00232E8D"/>
    <w:rsid w:val="00233A33"/>
    <w:rsid w:val="002377CE"/>
    <w:rsid w:val="002416F0"/>
    <w:rsid w:val="0024262B"/>
    <w:rsid w:val="00242F0C"/>
    <w:rsid w:val="0024451F"/>
    <w:rsid w:val="00245CDD"/>
    <w:rsid w:val="00245E3B"/>
    <w:rsid w:val="00247CBE"/>
    <w:rsid w:val="002513C2"/>
    <w:rsid w:val="002528F5"/>
    <w:rsid w:val="00253C0F"/>
    <w:rsid w:val="00254437"/>
    <w:rsid w:val="00255827"/>
    <w:rsid w:val="002603BA"/>
    <w:rsid w:val="002606DC"/>
    <w:rsid w:val="00260CD5"/>
    <w:rsid w:val="00260E88"/>
    <w:rsid w:val="002611AA"/>
    <w:rsid w:val="00261D91"/>
    <w:rsid w:val="00263FB6"/>
    <w:rsid w:val="00264940"/>
    <w:rsid w:val="002669EA"/>
    <w:rsid w:val="00273AD7"/>
    <w:rsid w:val="0027403B"/>
    <w:rsid w:val="002752FD"/>
    <w:rsid w:val="00275C05"/>
    <w:rsid w:val="00276F85"/>
    <w:rsid w:val="0027775D"/>
    <w:rsid w:val="00277790"/>
    <w:rsid w:val="002803BD"/>
    <w:rsid w:val="0028090D"/>
    <w:rsid w:val="00280DBF"/>
    <w:rsid w:val="00281DBC"/>
    <w:rsid w:val="0028318C"/>
    <w:rsid w:val="0028336F"/>
    <w:rsid w:val="00283EEE"/>
    <w:rsid w:val="002845EC"/>
    <w:rsid w:val="0028588A"/>
    <w:rsid w:val="00286D27"/>
    <w:rsid w:val="00287263"/>
    <w:rsid w:val="00293528"/>
    <w:rsid w:val="002A08EA"/>
    <w:rsid w:val="002A12E8"/>
    <w:rsid w:val="002A1EE6"/>
    <w:rsid w:val="002A2EAE"/>
    <w:rsid w:val="002A3E81"/>
    <w:rsid w:val="002A44C6"/>
    <w:rsid w:val="002A590C"/>
    <w:rsid w:val="002A5C25"/>
    <w:rsid w:val="002A6AE4"/>
    <w:rsid w:val="002A734F"/>
    <w:rsid w:val="002A7375"/>
    <w:rsid w:val="002A7D52"/>
    <w:rsid w:val="002B1183"/>
    <w:rsid w:val="002B3FFD"/>
    <w:rsid w:val="002B4D8A"/>
    <w:rsid w:val="002B5992"/>
    <w:rsid w:val="002B6BE4"/>
    <w:rsid w:val="002B6E38"/>
    <w:rsid w:val="002B6F36"/>
    <w:rsid w:val="002B7D5E"/>
    <w:rsid w:val="002C20C3"/>
    <w:rsid w:val="002C25E3"/>
    <w:rsid w:val="002C2958"/>
    <w:rsid w:val="002C4F93"/>
    <w:rsid w:val="002C5F92"/>
    <w:rsid w:val="002C7FF5"/>
    <w:rsid w:val="002D5028"/>
    <w:rsid w:val="002D7425"/>
    <w:rsid w:val="002E08DC"/>
    <w:rsid w:val="002E23B4"/>
    <w:rsid w:val="002E3B30"/>
    <w:rsid w:val="002E4182"/>
    <w:rsid w:val="002E5DC9"/>
    <w:rsid w:val="002E68CC"/>
    <w:rsid w:val="002E6E40"/>
    <w:rsid w:val="002E7971"/>
    <w:rsid w:val="002F0021"/>
    <w:rsid w:val="002F0C3A"/>
    <w:rsid w:val="002F2545"/>
    <w:rsid w:val="002F3E9C"/>
    <w:rsid w:val="002F5306"/>
    <w:rsid w:val="002F5887"/>
    <w:rsid w:val="002F6163"/>
    <w:rsid w:val="002F63A1"/>
    <w:rsid w:val="00300B29"/>
    <w:rsid w:val="00301796"/>
    <w:rsid w:val="00301B9F"/>
    <w:rsid w:val="00301E92"/>
    <w:rsid w:val="00302015"/>
    <w:rsid w:val="00307D5E"/>
    <w:rsid w:val="00310EF3"/>
    <w:rsid w:val="00311870"/>
    <w:rsid w:val="00312AD5"/>
    <w:rsid w:val="0031450F"/>
    <w:rsid w:val="00315A71"/>
    <w:rsid w:val="00317F1F"/>
    <w:rsid w:val="003201B3"/>
    <w:rsid w:val="00321B5F"/>
    <w:rsid w:val="0032232A"/>
    <w:rsid w:val="00324D72"/>
    <w:rsid w:val="00325610"/>
    <w:rsid w:val="00326107"/>
    <w:rsid w:val="00327814"/>
    <w:rsid w:val="0033035E"/>
    <w:rsid w:val="003312E5"/>
    <w:rsid w:val="00333803"/>
    <w:rsid w:val="00333C11"/>
    <w:rsid w:val="00334B23"/>
    <w:rsid w:val="00335CC2"/>
    <w:rsid w:val="003367C5"/>
    <w:rsid w:val="003373EE"/>
    <w:rsid w:val="003402A7"/>
    <w:rsid w:val="00341B1D"/>
    <w:rsid w:val="00342213"/>
    <w:rsid w:val="0034250B"/>
    <w:rsid w:val="00343DDF"/>
    <w:rsid w:val="00344188"/>
    <w:rsid w:val="00344A72"/>
    <w:rsid w:val="00344B76"/>
    <w:rsid w:val="00347575"/>
    <w:rsid w:val="00347608"/>
    <w:rsid w:val="003476FD"/>
    <w:rsid w:val="00347B4E"/>
    <w:rsid w:val="00347FE0"/>
    <w:rsid w:val="00350FEB"/>
    <w:rsid w:val="003525D8"/>
    <w:rsid w:val="00353CDC"/>
    <w:rsid w:val="00353D35"/>
    <w:rsid w:val="00354293"/>
    <w:rsid w:val="00354DE1"/>
    <w:rsid w:val="0035500C"/>
    <w:rsid w:val="00356DDF"/>
    <w:rsid w:val="00357EEC"/>
    <w:rsid w:val="003623AE"/>
    <w:rsid w:val="00362B26"/>
    <w:rsid w:val="00363CFB"/>
    <w:rsid w:val="003644B5"/>
    <w:rsid w:val="0036506B"/>
    <w:rsid w:val="003705CF"/>
    <w:rsid w:val="00372634"/>
    <w:rsid w:val="00372D60"/>
    <w:rsid w:val="00373CC1"/>
    <w:rsid w:val="00376EA1"/>
    <w:rsid w:val="003779B9"/>
    <w:rsid w:val="003809E3"/>
    <w:rsid w:val="00380E2F"/>
    <w:rsid w:val="00380E54"/>
    <w:rsid w:val="00382BDD"/>
    <w:rsid w:val="00383FF8"/>
    <w:rsid w:val="00384FC0"/>
    <w:rsid w:val="00385C61"/>
    <w:rsid w:val="0038706A"/>
    <w:rsid w:val="003875E2"/>
    <w:rsid w:val="003911CB"/>
    <w:rsid w:val="00392566"/>
    <w:rsid w:val="00393303"/>
    <w:rsid w:val="00396976"/>
    <w:rsid w:val="0039727C"/>
    <w:rsid w:val="003A0708"/>
    <w:rsid w:val="003A3650"/>
    <w:rsid w:val="003A705D"/>
    <w:rsid w:val="003B0073"/>
    <w:rsid w:val="003B0FD1"/>
    <w:rsid w:val="003B13A3"/>
    <w:rsid w:val="003B30E3"/>
    <w:rsid w:val="003B3106"/>
    <w:rsid w:val="003B78AD"/>
    <w:rsid w:val="003C0D81"/>
    <w:rsid w:val="003C0DB3"/>
    <w:rsid w:val="003C12D2"/>
    <w:rsid w:val="003C18FF"/>
    <w:rsid w:val="003C28E1"/>
    <w:rsid w:val="003C3210"/>
    <w:rsid w:val="003C374C"/>
    <w:rsid w:val="003C4151"/>
    <w:rsid w:val="003C5832"/>
    <w:rsid w:val="003D2411"/>
    <w:rsid w:val="003D2C65"/>
    <w:rsid w:val="003D305D"/>
    <w:rsid w:val="003D592F"/>
    <w:rsid w:val="003D79B7"/>
    <w:rsid w:val="003E032E"/>
    <w:rsid w:val="003E1866"/>
    <w:rsid w:val="003E4959"/>
    <w:rsid w:val="003E560C"/>
    <w:rsid w:val="003E6D02"/>
    <w:rsid w:val="003F1B4F"/>
    <w:rsid w:val="003F359B"/>
    <w:rsid w:val="003F7687"/>
    <w:rsid w:val="0040105E"/>
    <w:rsid w:val="004025AB"/>
    <w:rsid w:val="00402EE5"/>
    <w:rsid w:val="00403141"/>
    <w:rsid w:val="00403344"/>
    <w:rsid w:val="00406120"/>
    <w:rsid w:val="00407792"/>
    <w:rsid w:val="00410075"/>
    <w:rsid w:val="004111B3"/>
    <w:rsid w:val="00412CE4"/>
    <w:rsid w:val="00412FDC"/>
    <w:rsid w:val="00415403"/>
    <w:rsid w:val="00415C9F"/>
    <w:rsid w:val="0042058D"/>
    <w:rsid w:val="00421479"/>
    <w:rsid w:val="004228D0"/>
    <w:rsid w:val="00422F63"/>
    <w:rsid w:val="0042424F"/>
    <w:rsid w:val="00424BF9"/>
    <w:rsid w:val="00425DF0"/>
    <w:rsid w:val="00426516"/>
    <w:rsid w:val="00430A4D"/>
    <w:rsid w:val="00432BD1"/>
    <w:rsid w:val="00434D22"/>
    <w:rsid w:val="00435D1D"/>
    <w:rsid w:val="004360EA"/>
    <w:rsid w:val="00436639"/>
    <w:rsid w:val="00436B5C"/>
    <w:rsid w:val="004402F6"/>
    <w:rsid w:val="00442A1D"/>
    <w:rsid w:val="00442D2D"/>
    <w:rsid w:val="004431DC"/>
    <w:rsid w:val="00444196"/>
    <w:rsid w:val="004444D1"/>
    <w:rsid w:val="00444D5E"/>
    <w:rsid w:val="004459AE"/>
    <w:rsid w:val="00445D90"/>
    <w:rsid w:val="00446456"/>
    <w:rsid w:val="00452361"/>
    <w:rsid w:val="0045288F"/>
    <w:rsid w:val="004530C7"/>
    <w:rsid w:val="004557B6"/>
    <w:rsid w:val="00456769"/>
    <w:rsid w:val="004577B0"/>
    <w:rsid w:val="0046005F"/>
    <w:rsid w:val="0046117A"/>
    <w:rsid w:val="00463278"/>
    <w:rsid w:val="00463833"/>
    <w:rsid w:val="00464A57"/>
    <w:rsid w:val="004673B7"/>
    <w:rsid w:val="00470024"/>
    <w:rsid w:val="0047148C"/>
    <w:rsid w:val="00472B64"/>
    <w:rsid w:val="00473D58"/>
    <w:rsid w:val="00474C4D"/>
    <w:rsid w:val="004752A1"/>
    <w:rsid w:val="004752FC"/>
    <w:rsid w:val="0048072A"/>
    <w:rsid w:val="00481468"/>
    <w:rsid w:val="00481609"/>
    <w:rsid w:val="0048252C"/>
    <w:rsid w:val="004838E2"/>
    <w:rsid w:val="00483B52"/>
    <w:rsid w:val="0048539D"/>
    <w:rsid w:val="0048709B"/>
    <w:rsid w:val="004875E3"/>
    <w:rsid w:val="004906D9"/>
    <w:rsid w:val="00490B36"/>
    <w:rsid w:val="00490BED"/>
    <w:rsid w:val="00491606"/>
    <w:rsid w:val="004917B0"/>
    <w:rsid w:val="00492C02"/>
    <w:rsid w:val="004930CB"/>
    <w:rsid w:val="00493E3B"/>
    <w:rsid w:val="004941D6"/>
    <w:rsid w:val="00495E6B"/>
    <w:rsid w:val="00497417"/>
    <w:rsid w:val="004A082A"/>
    <w:rsid w:val="004A0A26"/>
    <w:rsid w:val="004A179A"/>
    <w:rsid w:val="004A1DF2"/>
    <w:rsid w:val="004A1FB1"/>
    <w:rsid w:val="004A511A"/>
    <w:rsid w:val="004A7806"/>
    <w:rsid w:val="004A7D2C"/>
    <w:rsid w:val="004B31C4"/>
    <w:rsid w:val="004B5478"/>
    <w:rsid w:val="004B7681"/>
    <w:rsid w:val="004C1A75"/>
    <w:rsid w:val="004C1BE3"/>
    <w:rsid w:val="004C2046"/>
    <w:rsid w:val="004C29BF"/>
    <w:rsid w:val="004C3C46"/>
    <w:rsid w:val="004C60A5"/>
    <w:rsid w:val="004D23FB"/>
    <w:rsid w:val="004D2FCD"/>
    <w:rsid w:val="004D33D3"/>
    <w:rsid w:val="004D579E"/>
    <w:rsid w:val="004D7342"/>
    <w:rsid w:val="004D7A85"/>
    <w:rsid w:val="004E1E27"/>
    <w:rsid w:val="004E23E8"/>
    <w:rsid w:val="004E26A3"/>
    <w:rsid w:val="004E30AC"/>
    <w:rsid w:val="004E38F6"/>
    <w:rsid w:val="004E58B6"/>
    <w:rsid w:val="004E5A56"/>
    <w:rsid w:val="004E61D6"/>
    <w:rsid w:val="004E69F8"/>
    <w:rsid w:val="004E6FD2"/>
    <w:rsid w:val="004E7F15"/>
    <w:rsid w:val="004F2519"/>
    <w:rsid w:val="004F51E5"/>
    <w:rsid w:val="004F5246"/>
    <w:rsid w:val="004F58CC"/>
    <w:rsid w:val="004F627F"/>
    <w:rsid w:val="004F714C"/>
    <w:rsid w:val="004F741C"/>
    <w:rsid w:val="0050011F"/>
    <w:rsid w:val="0050136A"/>
    <w:rsid w:val="00501EE1"/>
    <w:rsid w:val="00503288"/>
    <w:rsid w:val="00503612"/>
    <w:rsid w:val="00503A32"/>
    <w:rsid w:val="0050480F"/>
    <w:rsid w:val="00505A1F"/>
    <w:rsid w:val="005125F0"/>
    <w:rsid w:val="00513BF0"/>
    <w:rsid w:val="005158A8"/>
    <w:rsid w:val="0051697F"/>
    <w:rsid w:val="00520A6F"/>
    <w:rsid w:val="005218EA"/>
    <w:rsid w:val="00523EB0"/>
    <w:rsid w:val="00524166"/>
    <w:rsid w:val="005250BE"/>
    <w:rsid w:val="005251E3"/>
    <w:rsid w:val="005256EE"/>
    <w:rsid w:val="0053032F"/>
    <w:rsid w:val="00531AB1"/>
    <w:rsid w:val="005332B7"/>
    <w:rsid w:val="005340C8"/>
    <w:rsid w:val="00534EC3"/>
    <w:rsid w:val="00535E77"/>
    <w:rsid w:val="00536937"/>
    <w:rsid w:val="00537FDB"/>
    <w:rsid w:val="005407C1"/>
    <w:rsid w:val="005418A7"/>
    <w:rsid w:val="00541974"/>
    <w:rsid w:val="00541C94"/>
    <w:rsid w:val="0054213E"/>
    <w:rsid w:val="00543C82"/>
    <w:rsid w:val="00545AD7"/>
    <w:rsid w:val="00546152"/>
    <w:rsid w:val="0055187D"/>
    <w:rsid w:val="0055332C"/>
    <w:rsid w:val="00554E85"/>
    <w:rsid w:val="00562682"/>
    <w:rsid w:val="00564D3A"/>
    <w:rsid w:val="00565CC0"/>
    <w:rsid w:val="005663C5"/>
    <w:rsid w:val="0056648C"/>
    <w:rsid w:val="005666FD"/>
    <w:rsid w:val="00566D8E"/>
    <w:rsid w:val="00570999"/>
    <w:rsid w:val="00573E8A"/>
    <w:rsid w:val="00573EB5"/>
    <w:rsid w:val="00574261"/>
    <w:rsid w:val="00574831"/>
    <w:rsid w:val="00575984"/>
    <w:rsid w:val="00576800"/>
    <w:rsid w:val="00580958"/>
    <w:rsid w:val="00581E83"/>
    <w:rsid w:val="005824E3"/>
    <w:rsid w:val="00585691"/>
    <w:rsid w:val="00586414"/>
    <w:rsid w:val="00587BFB"/>
    <w:rsid w:val="0059045E"/>
    <w:rsid w:val="00591444"/>
    <w:rsid w:val="0059266C"/>
    <w:rsid w:val="005941A3"/>
    <w:rsid w:val="005959DF"/>
    <w:rsid w:val="0059603C"/>
    <w:rsid w:val="00597945"/>
    <w:rsid w:val="005A2037"/>
    <w:rsid w:val="005A23F1"/>
    <w:rsid w:val="005A3164"/>
    <w:rsid w:val="005A47AA"/>
    <w:rsid w:val="005B1B5C"/>
    <w:rsid w:val="005B303A"/>
    <w:rsid w:val="005B32D0"/>
    <w:rsid w:val="005B3605"/>
    <w:rsid w:val="005B557C"/>
    <w:rsid w:val="005B5739"/>
    <w:rsid w:val="005B61EC"/>
    <w:rsid w:val="005B6A48"/>
    <w:rsid w:val="005C0C16"/>
    <w:rsid w:val="005C1FEE"/>
    <w:rsid w:val="005C40D7"/>
    <w:rsid w:val="005C6C0D"/>
    <w:rsid w:val="005C7A13"/>
    <w:rsid w:val="005C7EB7"/>
    <w:rsid w:val="005D04CB"/>
    <w:rsid w:val="005D1BA0"/>
    <w:rsid w:val="005D26C3"/>
    <w:rsid w:val="005D4C94"/>
    <w:rsid w:val="005D5706"/>
    <w:rsid w:val="005D5F09"/>
    <w:rsid w:val="005D72DF"/>
    <w:rsid w:val="005D7CE7"/>
    <w:rsid w:val="005E6EF3"/>
    <w:rsid w:val="005F22A9"/>
    <w:rsid w:val="005F3134"/>
    <w:rsid w:val="005F4A5B"/>
    <w:rsid w:val="005F6F84"/>
    <w:rsid w:val="005F77A7"/>
    <w:rsid w:val="00605108"/>
    <w:rsid w:val="006055D7"/>
    <w:rsid w:val="00605727"/>
    <w:rsid w:val="00607747"/>
    <w:rsid w:val="006118DF"/>
    <w:rsid w:val="00611FC8"/>
    <w:rsid w:val="00615E47"/>
    <w:rsid w:val="006179FD"/>
    <w:rsid w:val="00620B61"/>
    <w:rsid w:val="00621DF9"/>
    <w:rsid w:val="00623B7B"/>
    <w:rsid w:val="00624557"/>
    <w:rsid w:val="00625A38"/>
    <w:rsid w:val="00627B69"/>
    <w:rsid w:val="00627EBA"/>
    <w:rsid w:val="0063063F"/>
    <w:rsid w:val="0063273A"/>
    <w:rsid w:val="006332B1"/>
    <w:rsid w:val="00633859"/>
    <w:rsid w:val="006349EC"/>
    <w:rsid w:val="00634A42"/>
    <w:rsid w:val="00634EA4"/>
    <w:rsid w:val="006401E9"/>
    <w:rsid w:val="0064023F"/>
    <w:rsid w:val="00640C5F"/>
    <w:rsid w:val="00641FD3"/>
    <w:rsid w:val="00643937"/>
    <w:rsid w:val="00645048"/>
    <w:rsid w:val="00650378"/>
    <w:rsid w:val="00651F56"/>
    <w:rsid w:val="00652298"/>
    <w:rsid w:val="00656687"/>
    <w:rsid w:val="00660182"/>
    <w:rsid w:val="00660CD9"/>
    <w:rsid w:val="00663030"/>
    <w:rsid w:val="00663441"/>
    <w:rsid w:val="00666768"/>
    <w:rsid w:val="00666EB9"/>
    <w:rsid w:val="006701AB"/>
    <w:rsid w:val="00673203"/>
    <w:rsid w:val="00675E7B"/>
    <w:rsid w:val="00684B4A"/>
    <w:rsid w:val="00691496"/>
    <w:rsid w:val="00692296"/>
    <w:rsid w:val="00692A34"/>
    <w:rsid w:val="0069586C"/>
    <w:rsid w:val="00696393"/>
    <w:rsid w:val="006963AA"/>
    <w:rsid w:val="0069676D"/>
    <w:rsid w:val="00697AB1"/>
    <w:rsid w:val="006A101F"/>
    <w:rsid w:val="006A212E"/>
    <w:rsid w:val="006A26D1"/>
    <w:rsid w:val="006A3D7F"/>
    <w:rsid w:val="006A593C"/>
    <w:rsid w:val="006A6E21"/>
    <w:rsid w:val="006B1A20"/>
    <w:rsid w:val="006B21FD"/>
    <w:rsid w:val="006B3262"/>
    <w:rsid w:val="006B4791"/>
    <w:rsid w:val="006B62A8"/>
    <w:rsid w:val="006C03E9"/>
    <w:rsid w:val="006C3843"/>
    <w:rsid w:val="006C48F5"/>
    <w:rsid w:val="006C4EB4"/>
    <w:rsid w:val="006C5FDA"/>
    <w:rsid w:val="006C6BDB"/>
    <w:rsid w:val="006D1219"/>
    <w:rsid w:val="006D140B"/>
    <w:rsid w:val="006D1E83"/>
    <w:rsid w:val="006D2064"/>
    <w:rsid w:val="006D2392"/>
    <w:rsid w:val="006D26DE"/>
    <w:rsid w:val="006D448C"/>
    <w:rsid w:val="006D5822"/>
    <w:rsid w:val="006E2257"/>
    <w:rsid w:val="006E32A5"/>
    <w:rsid w:val="006E6152"/>
    <w:rsid w:val="006F08D6"/>
    <w:rsid w:val="006F0E4A"/>
    <w:rsid w:val="006F13AB"/>
    <w:rsid w:val="006F1C6B"/>
    <w:rsid w:val="006F3419"/>
    <w:rsid w:val="006F650C"/>
    <w:rsid w:val="0070057C"/>
    <w:rsid w:val="00701739"/>
    <w:rsid w:val="007020C7"/>
    <w:rsid w:val="0070282A"/>
    <w:rsid w:val="007047B7"/>
    <w:rsid w:val="00705D58"/>
    <w:rsid w:val="00706812"/>
    <w:rsid w:val="00706C65"/>
    <w:rsid w:val="0070768A"/>
    <w:rsid w:val="00710E72"/>
    <w:rsid w:val="00712372"/>
    <w:rsid w:val="00712519"/>
    <w:rsid w:val="007142DB"/>
    <w:rsid w:val="0071434A"/>
    <w:rsid w:val="00714D8F"/>
    <w:rsid w:val="00714FB1"/>
    <w:rsid w:val="007155B5"/>
    <w:rsid w:val="007161A7"/>
    <w:rsid w:val="00717707"/>
    <w:rsid w:val="007200B1"/>
    <w:rsid w:val="007208EB"/>
    <w:rsid w:val="00721B6F"/>
    <w:rsid w:val="00721DDB"/>
    <w:rsid w:val="00721EB9"/>
    <w:rsid w:val="007220DB"/>
    <w:rsid w:val="0072267E"/>
    <w:rsid w:val="0072406F"/>
    <w:rsid w:val="00724BE3"/>
    <w:rsid w:val="00727561"/>
    <w:rsid w:val="00731D18"/>
    <w:rsid w:val="00734FDC"/>
    <w:rsid w:val="007358EB"/>
    <w:rsid w:val="00735E63"/>
    <w:rsid w:val="00736CA3"/>
    <w:rsid w:val="007408C3"/>
    <w:rsid w:val="0074139D"/>
    <w:rsid w:val="00743A02"/>
    <w:rsid w:val="00745014"/>
    <w:rsid w:val="00745532"/>
    <w:rsid w:val="00746628"/>
    <w:rsid w:val="00746F66"/>
    <w:rsid w:val="007506A6"/>
    <w:rsid w:val="00752DF7"/>
    <w:rsid w:val="00756D95"/>
    <w:rsid w:val="0075718C"/>
    <w:rsid w:val="00760153"/>
    <w:rsid w:val="00760360"/>
    <w:rsid w:val="007606CD"/>
    <w:rsid w:val="007627A6"/>
    <w:rsid w:val="00762D84"/>
    <w:rsid w:val="007630B8"/>
    <w:rsid w:val="00763157"/>
    <w:rsid w:val="007640E5"/>
    <w:rsid w:val="0076449F"/>
    <w:rsid w:val="00764E28"/>
    <w:rsid w:val="00767021"/>
    <w:rsid w:val="007701D0"/>
    <w:rsid w:val="00773776"/>
    <w:rsid w:val="00774BBC"/>
    <w:rsid w:val="00777BCD"/>
    <w:rsid w:val="00780F84"/>
    <w:rsid w:val="00781FF1"/>
    <w:rsid w:val="00790DFE"/>
    <w:rsid w:val="0079216B"/>
    <w:rsid w:val="00792FDC"/>
    <w:rsid w:val="00793880"/>
    <w:rsid w:val="00794971"/>
    <w:rsid w:val="00795552"/>
    <w:rsid w:val="00795719"/>
    <w:rsid w:val="00796137"/>
    <w:rsid w:val="0079752A"/>
    <w:rsid w:val="007A1601"/>
    <w:rsid w:val="007A1BAC"/>
    <w:rsid w:val="007A1FEA"/>
    <w:rsid w:val="007A22D1"/>
    <w:rsid w:val="007A5183"/>
    <w:rsid w:val="007A5831"/>
    <w:rsid w:val="007A69AF"/>
    <w:rsid w:val="007A7277"/>
    <w:rsid w:val="007A7707"/>
    <w:rsid w:val="007B5E91"/>
    <w:rsid w:val="007C0C9B"/>
    <w:rsid w:val="007C1F4D"/>
    <w:rsid w:val="007C5B86"/>
    <w:rsid w:val="007C657E"/>
    <w:rsid w:val="007C6714"/>
    <w:rsid w:val="007D1565"/>
    <w:rsid w:val="007D41A5"/>
    <w:rsid w:val="007D5200"/>
    <w:rsid w:val="007D54AE"/>
    <w:rsid w:val="007D57AD"/>
    <w:rsid w:val="007D591B"/>
    <w:rsid w:val="007D5CDB"/>
    <w:rsid w:val="007D63BD"/>
    <w:rsid w:val="007D6B8F"/>
    <w:rsid w:val="007D6F04"/>
    <w:rsid w:val="007D794A"/>
    <w:rsid w:val="007D7D62"/>
    <w:rsid w:val="007E026C"/>
    <w:rsid w:val="007E1479"/>
    <w:rsid w:val="007E1AC1"/>
    <w:rsid w:val="007E2172"/>
    <w:rsid w:val="007E221D"/>
    <w:rsid w:val="007E3737"/>
    <w:rsid w:val="007E45AF"/>
    <w:rsid w:val="007E4AEC"/>
    <w:rsid w:val="007E6B5E"/>
    <w:rsid w:val="007E72D7"/>
    <w:rsid w:val="007E75A7"/>
    <w:rsid w:val="007F08B7"/>
    <w:rsid w:val="007F0DFF"/>
    <w:rsid w:val="007F0F0E"/>
    <w:rsid w:val="007F0FBF"/>
    <w:rsid w:val="007F4F25"/>
    <w:rsid w:val="007F55BA"/>
    <w:rsid w:val="007F5BE7"/>
    <w:rsid w:val="00800591"/>
    <w:rsid w:val="0080206E"/>
    <w:rsid w:val="00802630"/>
    <w:rsid w:val="00803575"/>
    <w:rsid w:val="0080413D"/>
    <w:rsid w:val="00804438"/>
    <w:rsid w:val="00804A8F"/>
    <w:rsid w:val="00805882"/>
    <w:rsid w:val="00806612"/>
    <w:rsid w:val="008071B9"/>
    <w:rsid w:val="008075D0"/>
    <w:rsid w:val="0081236D"/>
    <w:rsid w:val="0081245D"/>
    <w:rsid w:val="00813894"/>
    <w:rsid w:val="00814399"/>
    <w:rsid w:val="00814701"/>
    <w:rsid w:val="00816543"/>
    <w:rsid w:val="00816718"/>
    <w:rsid w:val="00817154"/>
    <w:rsid w:val="00817660"/>
    <w:rsid w:val="00820627"/>
    <w:rsid w:val="008228AD"/>
    <w:rsid w:val="0082404C"/>
    <w:rsid w:val="00825401"/>
    <w:rsid w:val="00825E72"/>
    <w:rsid w:val="00825FD2"/>
    <w:rsid w:val="008279AA"/>
    <w:rsid w:val="00831830"/>
    <w:rsid w:val="00831A33"/>
    <w:rsid w:val="008330B4"/>
    <w:rsid w:val="00835829"/>
    <w:rsid w:val="00836FA3"/>
    <w:rsid w:val="00837664"/>
    <w:rsid w:val="00840F9F"/>
    <w:rsid w:val="008410A9"/>
    <w:rsid w:val="00842D52"/>
    <w:rsid w:val="00843421"/>
    <w:rsid w:val="00844326"/>
    <w:rsid w:val="008458AE"/>
    <w:rsid w:val="00847182"/>
    <w:rsid w:val="0085320D"/>
    <w:rsid w:val="0085323A"/>
    <w:rsid w:val="00853F0A"/>
    <w:rsid w:val="00855BE0"/>
    <w:rsid w:val="00856FF4"/>
    <w:rsid w:val="008577C0"/>
    <w:rsid w:val="00861C17"/>
    <w:rsid w:val="00864667"/>
    <w:rsid w:val="008706F9"/>
    <w:rsid w:val="00870A81"/>
    <w:rsid w:val="00874075"/>
    <w:rsid w:val="008743A7"/>
    <w:rsid w:val="0087507E"/>
    <w:rsid w:val="008769CF"/>
    <w:rsid w:val="00877714"/>
    <w:rsid w:val="00880632"/>
    <w:rsid w:val="0088263D"/>
    <w:rsid w:val="00882BFF"/>
    <w:rsid w:val="00883F2E"/>
    <w:rsid w:val="008844F0"/>
    <w:rsid w:val="00884E47"/>
    <w:rsid w:val="00885CC4"/>
    <w:rsid w:val="008866F8"/>
    <w:rsid w:val="008874EE"/>
    <w:rsid w:val="00887573"/>
    <w:rsid w:val="0089202D"/>
    <w:rsid w:val="00892ECE"/>
    <w:rsid w:val="008949CA"/>
    <w:rsid w:val="00894D36"/>
    <w:rsid w:val="00895458"/>
    <w:rsid w:val="00897D00"/>
    <w:rsid w:val="008A104B"/>
    <w:rsid w:val="008A1B52"/>
    <w:rsid w:val="008A2D75"/>
    <w:rsid w:val="008A31EA"/>
    <w:rsid w:val="008A32D1"/>
    <w:rsid w:val="008A4174"/>
    <w:rsid w:val="008A4FA5"/>
    <w:rsid w:val="008A60FF"/>
    <w:rsid w:val="008A659C"/>
    <w:rsid w:val="008A7213"/>
    <w:rsid w:val="008A727C"/>
    <w:rsid w:val="008B0D3C"/>
    <w:rsid w:val="008B0EFB"/>
    <w:rsid w:val="008B5569"/>
    <w:rsid w:val="008B5D1C"/>
    <w:rsid w:val="008B64DE"/>
    <w:rsid w:val="008B6CAD"/>
    <w:rsid w:val="008B7412"/>
    <w:rsid w:val="008B7940"/>
    <w:rsid w:val="008C2DCA"/>
    <w:rsid w:val="008C4C23"/>
    <w:rsid w:val="008C6EC7"/>
    <w:rsid w:val="008D0303"/>
    <w:rsid w:val="008D1101"/>
    <w:rsid w:val="008D277D"/>
    <w:rsid w:val="008D28D0"/>
    <w:rsid w:val="008D313A"/>
    <w:rsid w:val="008D41FE"/>
    <w:rsid w:val="008D5E4B"/>
    <w:rsid w:val="008D7E75"/>
    <w:rsid w:val="008E00A4"/>
    <w:rsid w:val="008E340C"/>
    <w:rsid w:val="008E557B"/>
    <w:rsid w:val="008E654C"/>
    <w:rsid w:val="008E6F2D"/>
    <w:rsid w:val="008F06D8"/>
    <w:rsid w:val="008F2D3D"/>
    <w:rsid w:val="008F5C61"/>
    <w:rsid w:val="008F6575"/>
    <w:rsid w:val="008F6594"/>
    <w:rsid w:val="009006E1"/>
    <w:rsid w:val="00901DD6"/>
    <w:rsid w:val="009029CE"/>
    <w:rsid w:val="0090377B"/>
    <w:rsid w:val="00904F8B"/>
    <w:rsid w:val="009060D5"/>
    <w:rsid w:val="00906FD8"/>
    <w:rsid w:val="00911B0B"/>
    <w:rsid w:val="009132B7"/>
    <w:rsid w:val="00913520"/>
    <w:rsid w:val="0091410A"/>
    <w:rsid w:val="00914591"/>
    <w:rsid w:val="00914664"/>
    <w:rsid w:val="0092052D"/>
    <w:rsid w:val="00920CE1"/>
    <w:rsid w:val="00920DB3"/>
    <w:rsid w:val="009232A6"/>
    <w:rsid w:val="00923772"/>
    <w:rsid w:val="00924EA7"/>
    <w:rsid w:val="00926343"/>
    <w:rsid w:val="00931286"/>
    <w:rsid w:val="00931CF7"/>
    <w:rsid w:val="00932780"/>
    <w:rsid w:val="00932A30"/>
    <w:rsid w:val="00932C77"/>
    <w:rsid w:val="00936276"/>
    <w:rsid w:val="00937A59"/>
    <w:rsid w:val="00937EDD"/>
    <w:rsid w:val="00943C58"/>
    <w:rsid w:val="00943EEC"/>
    <w:rsid w:val="0094467D"/>
    <w:rsid w:val="00944E22"/>
    <w:rsid w:val="00944E86"/>
    <w:rsid w:val="00945530"/>
    <w:rsid w:val="00950599"/>
    <w:rsid w:val="009514AC"/>
    <w:rsid w:val="00951A4F"/>
    <w:rsid w:val="00952C40"/>
    <w:rsid w:val="00955671"/>
    <w:rsid w:val="00956174"/>
    <w:rsid w:val="00963D35"/>
    <w:rsid w:val="00964788"/>
    <w:rsid w:val="00964CC7"/>
    <w:rsid w:val="00964FB3"/>
    <w:rsid w:val="009651CB"/>
    <w:rsid w:val="009675C9"/>
    <w:rsid w:val="00967865"/>
    <w:rsid w:val="00967ACC"/>
    <w:rsid w:val="0097036E"/>
    <w:rsid w:val="0097038F"/>
    <w:rsid w:val="00971677"/>
    <w:rsid w:val="00972FE8"/>
    <w:rsid w:val="00975420"/>
    <w:rsid w:val="009764FE"/>
    <w:rsid w:val="009833CD"/>
    <w:rsid w:val="0098565C"/>
    <w:rsid w:val="009865CD"/>
    <w:rsid w:val="00986BDA"/>
    <w:rsid w:val="00987261"/>
    <w:rsid w:val="009872F2"/>
    <w:rsid w:val="009900A6"/>
    <w:rsid w:val="00991597"/>
    <w:rsid w:val="009916E5"/>
    <w:rsid w:val="00991ACC"/>
    <w:rsid w:val="009939C0"/>
    <w:rsid w:val="00995151"/>
    <w:rsid w:val="00995688"/>
    <w:rsid w:val="0099596A"/>
    <w:rsid w:val="00997743"/>
    <w:rsid w:val="009A0DA3"/>
    <w:rsid w:val="009A1EF2"/>
    <w:rsid w:val="009A4DBC"/>
    <w:rsid w:val="009A5B7D"/>
    <w:rsid w:val="009A69A9"/>
    <w:rsid w:val="009B0052"/>
    <w:rsid w:val="009B137B"/>
    <w:rsid w:val="009B1772"/>
    <w:rsid w:val="009B1C3C"/>
    <w:rsid w:val="009B37D4"/>
    <w:rsid w:val="009B470C"/>
    <w:rsid w:val="009B4A5E"/>
    <w:rsid w:val="009B5B0F"/>
    <w:rsid w:val="009C299C"/>
    <w:rsid w:val="009C2D4D"/>
    <w:rsid w:val="009C3F12"/>
    <w:rsid w:val="009C5060"/>
    <w:rsid w:val="009D0DA0"/>
    <w:rsid w:val="009D12A1"/>
    <w:rsid w:val="009D1408"/>
    <w:rsid w:val="009D3FAF"/>
    <w:rsid w:val="009D5919"/>
    <w:rsid w:val="009D6282"/>
    <w:rsid w:val="009D7C81"/>
    <w:rsid w:val="009E1271"/>
    <w:rsid w:val="009E1CBD"/>
    <w:rsid w:val="009E21F8"/>
    <w:rsid w:val="009E3ADA"/>
    <w:rsid w:val="009E4093"/>
    <w:rsid w:val="009E475F"/>
    <w:rsid w:val="009E49C8"/>
    <w:rsid w:val="009E4DDE"/>
    <w:rsid w:val="009E6266"/>
    <w:rsid w:val="009E6676"/>
    <w:rsid w:val="009E7CA4"/>
    <w:rsid w:val="009F014A"/>
    <w:rsid w:val="009F4ACD"/>
    <w:rsid w:val="009F5337"/>
    <w:rsid w:val="009F6D81"/>
    <w:rsid w:val="009F7917"/>
    <w:rsid w:val="00A000CA"/>
    <w:rsid w:val="00A00A7D"/>
    <w:rsid w:val="00A02A67"/>
    <w:rsid w:val="00A02EA8"/>
    <w:rsid w:val="00A0727F"/>
    <w:rsid w:val="00A07838"/>
    <w:rsid w:val="00A07F4E"/>
    <w:rsid w:val="00A10568"/>
    <w:rsid w:val="00A110E7"/>
    <w:rsid w:val="00A11159"/>
    <w:rsid w:val="00A12490"/>
    <w:rsid w:val="00A128C2"/>
    <w:rsid w:val="00A12A26"/>
    <w:rsid w:val="00A12DED"/>
    <w:rsid w:val="00A12F4A"/>
    <w:rsid w:val="00A13717"/>
    <w:rsid w:val="00A143E5"/>
    <w:rsid w:val="00A14E74"/>
    <w:rsid w:val="00A151C2"/>
    <w:rsid w:val="00A15350"/>
    <w:rsid w:val="00A154B0"/>
    <w:rsid w:val="00A161F3"/>
    <w:rsid w:val="00A16E88"/>
    <w:rsid w:val="00A20B1A"/>
    <w:rsid w:val="00A21790"/>
    <w:rsid w:val="00A2254D"/>
    <w:rsid w:val="00A230A6"/>
    <w:rsid w:val="00A2319B"/>
    <w:rsid w:val="00A23C59"/>
    <w:rsid w:val="00A2450C"/>
    <w:rsid w:val="00A25094"/>
    <w:rsid w:val="00A2566B"/>
    <w:rsid w:val="00A27259"/>
    <w:rsid w:val="00A273D3"/>
    <w:rsid w:val="00A27A12"/>
    <w:rsid w:val="00A30482"/>
    <w:rsid w:val="00A31721"/>
    <w:rsid w:val="00A32B26"/>
    <w:rsid w:val="00A3468D"/>
    <w:rsid w:val="00A3500C"/>
    <w:rsid w:val="00A3562A"/>
    <w:rsid w:val="00A3723D"/>
    <w:rsid w:val="00A425F0"/>
    <w:rsid w:val="00A43A66"/>
    <w:rsid w:val="00A43FF6"/>
    <w:rsid w:val="00A454DE"/>
    <w:rsid w:val="00A4715F"/>
    <w:rsid w:val="00A472CF"/>
    <w:rsid w:val="00A47558"/>
    <w:rsid w:val="00A529A2"/>
    <w:rsid w:val="00A53DDF"/>
    <w:rsid w:val="00A5412E"/>
    <w:rsid w:val="00A55B11"/>
    <w:rsid w:val="00A56BDE"/>
    <w:rsid w:val="00A577B1"/>
    <w:rsid w:val="00A608EF"/>
    <w:rsid w:val="00A614D5"/>
    <w:rsid w:val="00A63078"/>
    <w:rsid w:val="00A63A1A"/>
    <w:rsid w:val="00A65241"/>
    <w:rsid w:val="00A66E32"/>
    <w:rsid w:val="00A673CD"/>
    <w:rsid w:val="00A72295"/>
    <w:rsid w:val="00A72D1E"/>
    <w:rsid w:val="00A72F03"/>
    <w:rsid w:val="00A776AF"/>
    <w:rsid w:val="00A808A3"/>
    <w:rsid w:val="00A81CE0"/>
    <w:rsid w:val="00A82675"/>
    <w:rsid w:val="00A83612"/>
    <w:rsid w:val="00A8660D"/>
    <w:rsid w:val="00A92741"/>
    <w:rsid w:val="00A95775"/>
    <w:rsid w:val="00A95C00"/>
    <w:rsid w:val="00A96532"/>
    <w:rsid w:val="00A96CED"/>
    <w:rsid w:val="00AA177E"/>
    <w:rsid w:val="00AA17E5"/>
    <w:rsid w:val="00AA27F4"/>
    <w:rsid w:val="00AA332B"/>
    <w:rsid w:val="00AA6BC5"/>
    <w:rsid w:val="00AB0121"/>
    <w:rsid w:val="00AB1081"/>
    <w:rsid w:val="00AB1712"/>
    <w:rsid w:val="00AB2115"/>
    <w:rsid w:val="00AB2897"/>
    <w:rsid w:val="00AB69D1"/>
    <w:rsid w:val="00AC248C"/>
    <w:rsid w:val="00AC32B5"/>
    <w:rsid w:val="00AC5ECC"/>
    <w:rsid w:val="00AC6350"/>
    <w:rsid w:val="00AC7A9F"/>
    <w:rsid w:val="00AD1E04"/>
    <w:rsid w:val="00AD1E0F"/>
    <w:rsid w:val="00AD2CB9"/>
    <w:rsid w:val="00AD368F"/>
    <w:rsid w:val="00AD3BDD"/>
    <w:rsid w:val="00AD3E98"/>
    <w:rsid w:val="00AD45BE"/>
    <w:rsid w:val="00AD558A"/>
    <w:rsid w:val="00AD5833"/>
    <w:rsid w:val="00AD6E5B"/>
    <w:rsid w:val="00AD70B2"/>
    <w:rsid w:val="00AE0B2F"/>
    <w:rsid w:val="00AE27EA"/>
    <w:rsid w:val="00AE5889"/>
    <w:rsid w:val="00AE6230"/>
    <w:rsid w:val="00AE6D1D"/>
    <w:rsid w:val="00AE7592"/>
    <w:rsid w:val="00AE769D"/>
    <w:rsid w:val="00AE7DAD"/>
    <w:rsid w:val="00AF1F28"/>
    <w:rsid w:val="00AF3320"/>
    <w:rsid w:val="00AF3973"/>
    <w:rsid w:val="00AF5765"/>
    <w:rsid w:val="00AF5810"/>
    <w:rsid w:val="00AF6D4E"/>
    <w:rsid w:val="00AF7116"/>
    <w:rsid w:val="00AF7F97"/>
    <w:rsid w:val="00B0025F"/>
    <w:rsid w:val="00B017F5"/>
    <w:rsid w:val="00B02AC7"/>
    <w:rsid w:val="00B05AE0"/>
    <w:rsid w:val="00B06E26"/>
    <w:rsid w:val="00B07FA8"/>
    <w:rsid w:val="00B15BD3"/>
    <w:rsid w:val="00B252AC"/>
    <w:rsid w:val="00B3157C"/>
    <w:rsid w:val="00B3206B"/>
    <w:rsid w:val="00B32474"/>
    <w:rsid w:val="00B362B5"/>
    <w:rsid w:val="00B37577"/>
    <w:rsid w:val="00B37E86"/>
    <w:rsid w:val="00B41095"/>
    <w:rsid w:val="00B41BB3"/>
    <w:rsid w:val="00B421BB"/>
    <w:rsid w:val="00B42898"/>
    <w:rsid w:val="00B436E6"/>
    <w:rsid w:val="00B440A7"/>
    <w:rsid w:val="00B45ACC"/>
    <w:rsid w:val="00B5036C"/>
    <w:rsid w:val="00B515A5"/>
    <w:rsid w:val="00B516B5"/>
    <w:rsid w:val="00B5274A"/>
    <w:rsid w:val="00B540CA"/>
    <w:rsid w:val="00B54E90"/>
    <w:rsid w:val="00B610E9"/>
    <w:rsid w:val="00B612ED"/>
    <w:rsid w:val="00B61856"/>
    <w:rsid w:val="00B6246C"/>
    <w:rsid w:val="00B62EB2"/>
    <w:rsid w:val="00B64CF8"/>
    <w:rsid w:val="00B66CE3"/>
    <w:rsid w:val="00B67376"/>
    <w:rsid w:val="00B6758E"/>
    <w:rsid w:val="00B67D49"/>
    <w:rsid w:val="00B70F7A"/>
    <w:rsid w:val="00B71C4E"/>
    <w:rsid w:val="00B72D84"/>
    <w:rsid w:val="00B73386"/>
    <w:rsid w:val="00B75DEA"/>
    <w:rsid w:val="00B774DE"/>
    <w:rsid w:val="00B803D6"/>
    <w:rsid w:val="00B84210"/>
    <w:rsid w:val="00B84B91"/>
    <w:rsid w:val="00B84F53"/>
    <w:rsid w:val="00B8502B"/>
    <w:rsid w:val="00B8674F"/>
    <w:rsid w:val="00B876BE"/>
    <w:rsid w:val="00B91AE5"/>
    <w:rsid w:val="00B91FA1"/>
    <w:rsid w:val="00B92604"/>
    <w:rsid w:val="00B926DB"/>
    <w:rsid w:val="00B962D1"/>
    <w:rsid w:val="00B9736D"/>
    <w:rsid w:val="00BA069C"/>
    <w:rsid w:val="00BA0A56"/>
    <w:rsid w:val="00BA0DD7"/>
    <w:rsid w:val="00BA4D5A"/>
    <w:rsid w:val="00BB0A51"/>
    <w:rsid w:val="00BB0B1A"/>
    <w:rsid w:val="00BB0CFD"/>
    <w:rsid w:val="00BB52DB"/>
    <w:rsid w:val="00BB52E9"/>
    <w:rsid w:val="00BB5927"/>
    <w:rsid w:val="00BB6720"/>
    <w:rsid w:val="00BB6E03"/>
    <w:rsid w:val="00BB72DF"/>
    <w:rsid w:val="00BC1749"/>
    <w:rsid w:val="00BC24E7"/>
    <w:rsid w:val="00BC3844"/>
    <w:rsid w:val="00BC3BEB"/>
    <w:rsid w:val="00BC4927"/>
    <w:rsid w:val="00BC493F"/>
    <w:rsid w:val="00BC5D4C"/>
    <w:rsid w:val="00BC7573"/>
    <w:rsid w:val="00BD0360"/>
    <w:rsid w:val="00BD2871"/>
    <w:rsid w:val="00BD363C"/>
    <w:rsid w:val="00BD3BC3"/>
    <w:rsid w:val="00BD40E1"/>
    <w:rsid w:val="00BD61E3"/>
    <w:rsid w:val="00BD6DF6"/>
    <w:rsid w:val="00BE4382"/>
    <w:rsid w:val="00BE49C2"/>
    <w:rsid w:val="00BE59D7"/>
    <w:rsid w:val="00BE65BA"/>
    <w:rsid w:val="00BE7B1B"/>
    <w:rsid w:val="00BF13EB"/>
    <w:rsid w:val="00BF1D3A"/>
    <w:rsid w:val="00BF42FE"/>
    <w:rsid w:val="00BF5B65"/>
    <w:rsid w:val="00BF5E92"/>
    <w:rsid w:val="00BF7363"/>
    <w:rsid w:val="00BF75F9"/>
    <w:rsid w:val="00C006F9"/>
    <w:rsid w:val="00C01845"/>
    <w:rsid w:val="00C0426A"/>
    <w:rsid w:val="00C062B6"/>
    <w:rsid w:val="00C07D55"/>
    <w:rsid w:val="00C10717"/>
    <w:rsid w:val="00C11661"/>
    <w:rsid w:val="00C12306"/>
    <w:rsid w:val="00C15F28"/>
    <w:rsid w:val="00C167B7"/>
    <w:rsid w:val="00C1773C"/>
    <w:rsid w:val="00C17E9D"/>
    <w:rsid w:val="00C20AD4"/>
    <w:rsid w:val="00C21403"/>
    <w:rsid w:val="00C22115"/>
    <w:rsid w:val="00C224CD"/>
    <w:rsid w:val="00C22F8A"/>
    <w:rsid w:val="00C241B0"/>
    <w:rsid w:val="00C26D89"/>
    <w:rsid w:val="00C31097"/>
    <w:rsid w:val="00C31CF7"/>
    <w:rsid w:val="00C333BD"/>
    <w:rsid w:val="00C35091"/>
    <w:rsid w:val="00C35326"/>
    <w:rsid w:val="00C37676"/>
    <w:rsid w:val="00C37A5A"/>
    <w:rsid w:val="00C42EB1"/>
    <w:rsid w:val="00C4366A"/>
    <w:rsid w:val="00C44119"/>
    <w:rsid w:val="00C44682"/>
    <w:rsid w:val="00C44B33"/>
    <w:rsid w:val="00C458F1"/>
    <w:rsid w:val="00C459EA"/>
    <w:rsid w:val="00C46442"/>
    <w:rsid w:val="00C469C5"/>
    <w:rsid w:val="00C502B3"/>
    <w:rsid w:val="00C508CE"/>
    <w:rsid w:val="00C508D6"/>
    <w:rsid w:val="00C50AA2"/>
    <w:rsid w:val="00C50FB6"/>
    <w:rsid w:val="00C54181"/>
    <w:rsid w:val="00C54290"/>
    <w:rsid w:val="00C55C38"/>
    <w:rsid w:val="00C56350"/>
    <w:rsid w:val="00C57FCA"/>
    <w:rsid w:val="00C60908"/>
    <w:rsid w:val="00C61E4E"/>
    <w:rsid w:val="00C64236"/>
    <w:rsid w:val="00C65B9E"/>
    <w:rsid w:val="00C662D6"/>
    <w:rsid w:val="00C671FA"/>
    <w:rsid w:val="00C679D7"/>
    <w:rsid w:val="00C67BE5"/>
    <w:rsid w:val="00C705FC"/>
    <w:rsid w:val="00C7084A"/>
    <w:rsid w:val="00C71B8D"/>
    <w:rsid w:val="00C7236E"/>
    <w:rsid w:val="00C76513"/>
    <w:rsid w:val="00C81EDE"/>
    <w:rsid w:val="00C83328"/>
    <w:rsid w:val="00C83BA7"/>
    <w:rsid w:val="00C83BB0"/>
    <w:rsid w:val="00C84479"/>
    <w:rsid w:val="00C858F7"/>
    <w:rsid w:val="00C865AB"/>
    <w:rsid w:val="00C8743D"/>
    <w:rsid w:val="00C87EBB"/>
    <w:rsid w:val="00C93238"/>
    <w:rsid w:val="00C95AE4"/>
    <w:rsid w:val="00C96B0C"/>
    <w:rsid w:val="00C9768F"/>
    <w:rsid w:val="00CA38BD"/>
    <w:rsid w:val="00CA3D27"/>
    <w:rsid w:val="00CA3E56"/>
    <w:rsid w:val="00CA4269"/>
    <w:rsid w:val="00CB01A4"/>
    <w:rsid w:val="00CB03BD"/>
    <w:rsid w:val="00CB773A"/>
    <w:rsid w:val="00CB7AE5"/>
    <w:rsid w:val="00CC3F93"/>
    <w:rsid w:val="00CC46CB"/>
    <w:rsid w:val="00CC7DAA"/>
    <w:rsid w:val="00CD10EB"/>
    <w:rsid w:val="00CD12A1"/>
    <w:rsid w:val="00CD1916"/>
    <w:rsid w:val="00CD1F85"/>
    <w:rsid w:val="00CD25CD"/>
    <w:rsid w:val="00CD471B"/>
    <w:rsid w:val="00CD605D"/>
    <w:rsid w:val="00CE0A1A"/>
    <w:rsid w:val="00CE4690"/>
    <w:rsid w:val="00CE47D9"/>
    <w:rsid w:val="00CE4B03"/>
    <w:rsid w:val="00CE59B6"/>
    <w:rsid w:val="00CE644F"/>
    <w:rsid w:val="00CE6779"/>
    <w:rsid w:val="00CE6AAB"/>
    <w:rsid w:val="00CE6ABF"/>
    <w:rsid w:val="00CF00F3"/>
    <w:rsid w:val="00CF08D5"/>
    <w:rsid w:val="00CF1B2A"/>
    <w:rsid w:val="00CF4A93"/>
    <w:rsid w:val="00CF6013"/>
    <w:rsid w:val="00CF6B23"/>
    <w:rsid w:val="00D00EBC"/>
    <w:rsid w:val="00D029A1"/>
    <w:rsid w:val="00D03A85"/>
    <w:rsid w:val="00D0408D"/>
    <w:rsid w:val="00D05692"/>
    <w:rsid w:val="00D07663"/>
    <w:rsid w:val="00D1093F"/>
    <w:rsid w:val="00D111B8"/>
    <w:rsid w:val="00D13503"/>
    <w:rsid w:val="00D137D9"/>
    <w:rsid w:val="00D13E48"/>
    <w:rsid w:val="00D1421C"/>
    <w:rsid w:val="00D14DDA"/>
    <w:rsid w:val="00D16E71"/>
    <w:rsid w:val="00D171F3"/>
    <w:rsid w:val="00D172CC"/>
    <w:rsid w:val="00D179EB"/>
    <w:rsid w:val="00D17C96"/>
    <w:rsid w:val="00D20B4D"/>
    <w:rsid w:val="00D22703"/>
    <w:rsid w:val="00D22E02"/>
    <w:rsid w:val="00D23A70"/>
    <w:rsid w:val="00D23B58"/>
    <w:rsid w:val="00D23CA3"/>
    <w:rsid w:val="00D2739E"/>
    <w:rsid w:val="00D317BF"/>
    <w:rsid w:val="00D3311D"/>
    <w:rsid w:val="00D33BEF"/>
    <w:rsid w:val="00D3484D"/>
    <w:rsid w:val="00D36B5F"/>
    <w:rsid w:val="00D40CA6"/>
    <w:rsid w:val="00D4314C"/>
    <w:rsid w:val="00D43433"/>
    <w:rsid w:val="00D43B4A"/>
    <w:rsid w:val="00D43EBB"/>
    <w:rsid w:val="00D43FF5"/>
    <w:rsid w:val="00D46C9C"/>
    <w:rsid w:val="00D51183"/>
    <w:rsid w:val="00D57B0F"/>
    <w:rsid w:val="00D613B9"/>
    <w:rsid w:val="00D62FF6"/>
    <w:rsid w:val="00D63CDE"/>
    <w:rsid w:val="00D6469C"/>
    <w:rsid w:val="00D655E2"/>
    <w:rsid w:val="00D65CC1"/>
    <w:rsid w:val="00D67EAD"/>
    <w:rsid w:val="00D67EB1"/>
    <w:rsid w:val="00D701D1"/>
    <w:rsid w:val="00D70D19"/>
    <w:rsid w:val="00D70F1D"/>
    <w:rsid w:val="00D75479"/>
    <w:rsid w:val="00D7593A"/>
    <w:rsid w:val="00D75B44"/>
    <w:rsid w:val="00D770F1"/>
    <w:rsid w:val="00D776EF"/>
    <w:rsid w:val="00D8009E"/>
    <w:rsid w:val="00D81119"/>
    <w:rsid w:val="00D82D66"/>
    <w:rsid w:val="00D83170"/>
    <w:rsid w:val="00D83E87"/>
    <w:rsid w:val="00D84D79"/>
    <w:rsid w:val="00D8662D"/>
    <w:rsid w:val="00D9215C"/>
    <w:rsid w:val="00D93A02"/>
    <w:rsid w:val="00D93DCD"/>
    <w:rsid w:val="00D94047"/>
    <w:rsid w:val="00D9505A"/>
    <w:rsid w:val="00DA0855"/>
    <w:rsid w:val="00DA0A83"/>
    <w:rsid w:val="00DA172C"/>
    <w:rsid w:val="00DA2667"/>
    <w:rsid w:val="00DA2B18"/>
    <w:rsid w:val="00DA3080"/>
    <w:rsid w:val="00DA5D21"/>
    <w:rsid w:val="00DA69FB"/>
    <w:rsid w:val="00DB2699"/>
    <w:rsid w:val="00DB3000"/>
    <w:rsid w:val="00DB3E0C"/>
    <w:rsid w:val="00DB4039"/>
    <w:rsid w:val="00DC0EA0"/>
    <w:rsid w:val="00DC36DE"/>
    <w:rsid w:val="00DC39D7"/>
    <w:rsid w:val="00DC6E1B"/>
    <w:rsid w:val="00DC6FDA"/>
    <w:rsid w:val="00DC7BB6"/>
    <w:rsid w:val="00DD0302"/>
    <w:rsid w:val="00DD3738"/>
    <w:rsid w:val="00DD3A22"/>
    <w:rsid w:val="00DD516C"/>
    <w:rsid w:val="00DE2FC5"/>
    <w:rsid w:val="00DF187A"/>
    <w:rsid w:val="00DF1DAB"/>
    <w:rsid w:val="00DF5170"/>
    <w:rsid w:val="00DF53D6"/>
    <w:rsid w:val="00DF64DA"/>
    <w:rsid w:val="00E00CCA"/>
    <w:rsid w:val="00E00FD1"/>
    <w:rsid w:val="00E03AB1"/>
    <w:rsid w:val="00E03E9C"/>
    <w:rsid w:val="00E0486E"/>
    <w:rsid w:val="00E066E4"/>
    <w:rsid w:val="00E0770D"/>
    <w:rsid w:val="00E0790B"/>
    <w:rsid w:val="00E1049C"/>
    <w:rsid w:val="00E112F9"/>
    <w:rsid w:val="00E138E8"/>
    <w:rsid w:val="00E16EBA"/>
    <w:rsid w:val="00E17317"/>
    <w:rsid w:val="00E173E1"/>
    <w:rsid w:val="00E17EE8"/>
    <w:rsid w:val="00E22442"/>
    <w:rsid w:val="00E25C59"/>
    <w:rsid w:val="00E267FB"/>
    <w:rsid w:val="00E26A10"/>
    <w:rsid w:val="00E27683"/>
    <w:rsid w:val="00E27990"/>
    <w:rsid w:val="00E27AAF"/>
    <w:rsid w:val="00E3057A"/>
    <w:rsid w:val="00E30936"/>
    <w:rsid w:val="00E30D07"/>
    <w:rsid w:val="00E35178"/>
    <w:rsid w:val="00E356D6"/>
    <w:rsid w:val="00E35E46"/>
    <w:rsid w:val="00E377CE"/>
    <w:rsid w:val="00E40615"/>
    <w:rsid w:val="00E40E4A"/>
    <w:rsid w:val="00E4150A"/>
    <w:rsid w:val="00E41EF2"/>
    <w:rsid w:val="00E42415"/>
    <w:rsid w:val="00E425A4"/>
    <w:rsid w:val="00E4431F"/>
    <w:rsid w:val="00E45508"/>
    <w:rsid w:val="00E47796"/>
    <w:rsid w:val="00E47A56"/>
    <w:rsid w:val="00E5157E"/>
    <w:rsid w:val="00E539CA"/>
    <w:rsid w:val="00E544A7"/>
    <w:rsid w:val="00E5470B"/>
    <w:rsid w:val="00E563F5"/>
    <w:rsid w:val="00E56C71"/>
    <w:rsid w:val="00E60D49"/>
    <w:rsid w:val="00E65E5A"/>
    <w:rsid w:val="00E662BB"/>
    <w:rsid w:val="00E6675B"/>
    <w:rsid w:val="00E67A99"/>
    <w:rsid w:val="00E67EF6"/>
    <w:rsid w:val="00E70BCF"/>
    <w:rsid w:val="00E722B4"/>
    <w:rsid w:val="00E727AC"/>
    <w:rsid w:val="00E73A2B"/>
    <w:rsid w:val="00E740D9"/>
    <w:rsid w:val="00E74EA2"/>
    <w:rsid w:val="00E777D8"/>
    <w:rsid w:val="00E80561"/>
    <w:rsid w:val="00E816C9"/>
    <w:rsid w:val="00E81C8E"/>
    <w:rsid w:val="00E83016"/>
    <w:rsid w:val="00E83FEB"/>
    <w:rsid w:val="00E84270"/>
    <w:rsid w:val="00E84F44"/>
    <w:rsid w:val="00E86278"/>
    <w:rsid w:val="00E862BC"/>
    <w:rsid w:val="00E86A4E"/>
    <w:rsid w:val="00E91D2F"/>
    <w:rsid w:val="00E932D0"/>
    <w:rsid w:val="00E9627C"/>
    <w:rsid w:val="00E96F53"/>
    <w:rsid w:val="00E97BBC"/>
    <w:rsid w:val="00EA0272"/>
    <w:rsid w:val="00EA0BBE"/>
    <w:rsid w:val="00EA1F19"/>
    <w:rsid w:val="00EA3509"/>
    <w:rsid w:val="00EA7F81"/>
    <w:rsid w:val="00EB0421"/>
    <w:rsid w:val="00EB28E6"/>
    <w:rsid w:val="00EB2C44"/>
    <w:rsid w:val="00EB5A39"/>
    <w:rsid w:val="00EB6EBE"/>
    <w:rsid w:val="00EC055B"/>
    <w:rsid w:val="00EC0796"/>
    <w:rsid w:val="00EC0921"/>
    <w:rsid w:val="00EC30D6"/>
    <w:rsid w:val="00EC3305"/>
    <w:rsid w:val="00EC6A47"/>
    <w:rsid w:val="00EC7E81"/>
    <w:rsid w:val="00ED2A0F"/>
    <w:rsid w:val="00ED5436"/>
    <w:rsid w:val="00ED5750"/>
    <w:rsid w:val="00ED74AA"/>
    <w:rsid w:val="00EE248D"/>
    <w:rsid w:val="00EE35BD"/>
    <w:rsid w:val="00EE6C59"/>
    <w:rsid w:val="00EE77FB"/>
    <w:rsid w:val="00EF0C60"/>
    <w:rsid w:val="00EF1928"/>
    <w:rsid w:val="00EF237E"/>
    <w:rsid w:val="00EF2E1C"/>
    <w:rsid w:val="00EF3936"/>
    <w:rsid w:val="00EF3C09"/>
    <w:rsid w:val="00EF4E52"/>
    <w:rsid w:val="00EF5296"/>
    <w:rsid w:val="00EF62DA"/>
    <w:rsid w:val="00EF631D"/>
    <w:rsid w:val="00EF779B"/>
    <w:rsid w:val="00F02A4C"/>
    <w:rsid w:val="00F0322B"/>
    <w:rsid w:val="00F041B3"/>
    <w:rsid w:val="00F045B1"/>
    <w:rsid w:val="00F04BCA"/>
    <w:rsid w:val="00F04CA1"/>
    <w:rsid w:val="00F05253"/>
    <w:rsid w:val="00F06450"/>
    <w:rsid w:val="00F079D2"/>
    <w:rsid w:val="00F07F71"/>
    <w:rsid w:val="00F07F88"/>
    <w:rsid w:val="00F103E0"/>
    <w:rsid w:val="00F11DCC"/>
    <w:rsid w:val="00F11FF6"/>
    <w:rsid w:val="00F14498"/>
    <w:rsid w:val="00F14DF2"/>
    <w:rsid w:val="00F16117"/>
    <w:rsid w:val="00F16C10"/>
    <w:rsid w:val="00F16E7B"/>
    <w:rsid w:val="00F17267"/>
    <w:rsid w:val="00F21C81"/>
    <w:rsid w:val="00F24C4E"/>
    <w:rsid w:val="00F269C5"/>
    <w:rsid w:val="00F26C46"/>
    <w:rsid w:val="00F27A1D"/>
    <w:rsid w:val="00F30C21"/>
    <w:rsid w:val="00F31B64"/>
    <w:rsid w:val="00F327B1"/>
    <w:rsid w:val="00F32C45"/>
    <w:rsid w:val="00F3317A"/>
    <w:rsid w:val="00F365F3"/>
    <w:rsid w:val="00F3779C"/>
    <w:rsid w:val="00F407CA"/>
    <w:rsid w:val="00F40F0B"/>
    <w:rsid w:val="00F40F4A"/>
    <w:rsid w:val="00F413A8"/>
    <w:rsid w:val="00F41446"/>
    <w:rsid w:val="00F41460"/>
    <w:rsid w:val="00F42FCF"/>
    <w:rsid w:val="00F4302D"/>
    <w:rsid w:val="00F43B5E"/>
    <w:rsid w:val="00F43FB1"/>
    <w:rsid w:val="00F4554C"/>
    <w:rsid w:val="00F45A76"/>
    <w:rsid w:val="00F4673E"/>
    <w:rsid w:val="00F5080C"/>
    <w:rsid w:val="00F51164"/>
    <w:rsid w:val="00F51360"/>
    <w:rsid w:val="00F52B08"/>
    <w:rsid w:val="00F53318"/>
    <w:rsid w:val="00F543AF"/>
    <w:rsid w:val="00F54B07"/>
    <w:rsid w:val="00F54E93"/>
    <w:rsid w:val="00F559FF"/>
    <w:rsid w:val="00F56689"/>
    <w:rsid w:val="00F57806"/>
    <w:rsid w:val="00F60FE9"/>
    <w:rsid w:val="00F61446"/>
    <w:rsid w:val="00F64EC4"/>
    <w:rsid w:val="00F652F1"/>
    <w:rsid w:val="00F65BD0"/>
    <w:rsid w:val="00F70218"/>
    <w:rsid w:val="00F705AC"/>
    <w:rsid w:val="00F7202D"/>
    <w:rsid w:val="00F72104"/>
    <w:rsid w:val="00F72F38"/>
    <w:rsid w:val="00F75A36"/>
    <w:rsid w:val="00F765EC"/>
    <w:rsid w:val="00F76746"/>
    <w:rsid w:val="00F771C8"/>
    <w:rsid w:val="00F8064C"/>
    <w:rsid w:val="00F80B5D"/>
    <w:rsid w:val="00F80D60"/>
    <w:rsid w:val="00F811F8"/>
    <w:rsid w:val="00F81814"/>
    <w:rsid w:val="00F82AB8"/>
    <w:rsid w:val="00F833A3"/>
    <w:rsid w:val="00F833C2"/>
    <w:rsid w:val="00F86F4C"/>
    <w:rsid w:val="00F9131B"/>
    <w:rsid w:val="00F91498"/>
    <w:rsid w:val="00F921AB"/>
    <w:rsid w:val="00F931B2"/>
    <w:rsid w:val="00F9321F"/>
    <w:rsid w:val="00F935A2"/>
    <w:rsid w:val="00F9511B"/>
    <w:rsid w:val="00F96AEB"/>
    <w:rsid w:val="00FA07DD"/>
    <w:rsid w:val="00FA1215"/>
    <w:rsid w:val="00FA23B8"/>
    <w:rsid w:val="00FA23C9"/>
    <w:rsid w:val="00FA3E5D"/>
    <w:rsid w:val="00FA59BF"/>
    <w:rsid w:val="00FA601F"/>
    <w:rsid w:val="00FA728C"/>
    <w:rsid w:val="00FA7EC1"/>
    <w:rsid w:val="00FB246E"/>
    <w:rsid w:val="00FB51C6"/>
    <w:rsid w:val="00FB7778"/>
    <w:rsid w:val="00FC1211"/>
    <w:rsid w:val="00FC24CF"/>
    <w:rsid w:val="00FC5137"/>
    <w:rsid w:val="00FD0BE4"/>
    <w:rsid w:val="00FD2497"/>
    <w:rsid w:val="00FD2DBB"/>
    <w:rsid w:val="00FD436F"/>
    <w:rsid w:val="00FD4FC7"/>
    <w:rsid w:val="00FD6776"/>
    <w:rsid w:val="00FD7593"/>
    <w:rsid w:val="00FE1B03"/>
    <w:rsid w:val="00FE3506"/>
    <w:rsid w:val="00FE392E"/>
    <w:rsid w:val="00FE6682"/>
    <w:rsid w:val="00FF3F9C"/>
    <w:rsid w:val="00FF5D7A"/>
    <w:rsid w:val="00FF6DA4"/>
    <w:rsid w:val="010B4A2A"/>
    <w:rsid w:val="01110410"/>
    <w:rsid w:val="011E52F3"/>
    <w:rsid w:val="01267C0A"/>
    <w:rsid w:val="0136732D"/>
    <w:rsid w:val="013D41B9"/>
    <w:rsid w:val="014F4893"/>
    <w:rsid w:val="0158132B"/>
    <w:rsid w:val="016158D4"/>
    <w:rsid w:val="016A7A16"/>
    <w:rsid w:val="0170184F"/>
    <w:rsid w:val="017C6182"/>
    <w:rsid w:val="01813653"/>
    <w:rsid w:val="0183770D"/>
    <w:rsid w:val="01844F8C"/>
    <w:rsid w:val="01937AB5"/>
    <w:rsid w:val="01A10387"/>
    <w:rsid w:val="01AF6532"/>
    <w:rsid w:val="01B0332C"/>
    <w:rsid w:val="01D86637"/>
    <w:rsid w:val="01F21A2B"/>
    <w:rsid w:val="02050C2C"/>
    <w:rsid w:val="022A4754"/>
    <w:rsid w:val="0250441F"/>
    <w:rsid w:val="026D3223"/>
    <w:rsid w:val="029248F1"/>
    <w:rsid w:val="02A705C7"/>
    <w:rsid w:val="02A73421"/>
    <w:rsid w:val="02A91F5E"/>
    <w:rsid w:val="02B07D35"/>
    <w:rsid w:val="02B12263"/>
    <w:rsid w:val="02B204F9"/>
    <w:rsid w:val="02B40E52"/>
    <w:rsid w:val="02BA21E0"/>
    <w:rsid w:val="02BE3A7E"/>
    <w:rsid w:val="02C32E43"/>
    <w:rsid w:val="02CD5A6F"/>
    <w:rsid w:val="02F254D6"/>
    <w:rsid w:val="02F57F7F"/>
    <w:rsid w:val="030A6CC4"/>
    <w:rsid w:val="03157416"/>
    <w:rsid w:val="031F2043"/>
    <w:rsid w:val="03236BFE"/>
    <w:rsid w:val="0324385A"/>
    <w:rsid w:val="032C6161"/>
    <w:rsid w:val="032F31D2"/>
    <w:rsid w:val="03304250"/>
    <w:rsid w:val="034E2FBD"/>
    <w:rsid w:val="035148F2"/>
    <w:rsid w:val="03522419"/>
    <w:rsid w:val="035C6DF3"/>
    <w:rsid w:val="035D39A0"/>
    <w:rsid w:val="0362539F"/>
    <w:rsid w:val="0364317F"/>
    <w:rsid w:val="0373545A"/>
    <w:rsid w:val="0384413B"/>
    <w:rsid w:val="03855997"/>
    <w:rsid w:val="038B331D"/>
    <w:rsid w:val="038D51FF"/>
    <w:rsid w:val="038E05EB"/>
    <w:rsid w:val="038F0581"/>
    <w:rsid w:val="039958AA"/>
    <w:rsid w:val="03A365B9"/>
    <w:rsid w:val="03D352ED"/>
    <w:rsid w:val="03D70271"/>
    <w:rsid w:val="03E70971"/>
    <w:rsid w:val="03ED4D31"/>
    <w:rsid w:val="04003C23"/>
    <w:rsid w:val="04004921"/>
    <w:rsid w:val="04025BED"/>
    <w:rsid w:val="04126045"/>
    <w:rsid w:val="042D7929"/>
    <w:rsid w:val="04325C2C"/>
    <w:rsid w:val="04357D70"/>
    <w:rsid w:val="04543B68"/>
    <w:rsid w:val="045D4130"/>
    <w:rsid w:val="04602913"/>
    <w:rsid w:val="04610AD6"/>
    <w:rsid w:val="04653BF5"/>
    <w:rsid w:val="04681BCC"/>
    <w:rsid w:val="047C20F3"/>
    <w:rsid w:val="048E6891"/>
    <w:rsid w:val="048F7C44"/>
    <w:rsid w:val="04952C90"/>
    <w:rsid w:val="04C723CB"/>
    <w:rsid w:val="04C9495C"/>
    <w:rsid w:val="04DA7DD2"/>
    <w:rsid w:val="04EB6681"/>
    <w:rsid w:val="04ED2D68"/>
    <w:rsid w:val="04F15E12"/>
    <w:rsid w:val="04F217BD"/>
    <w:rsid w:val="04F62DE5"/>
    <w:rsid w:val="04FD0162"/>
    <w:rsid w:val="05081436"/>
    <w:rsid w:val="05163267"/>
    <w:rsid w:val="05253812"/>
    <w:rsid w:val="05263B5D"/>
    <w:rsid w:val="053B7608"/>
    <w:rsid w:val="054536B3"/>
    <w:rsid w:val="054F7D67"/>
    <w:rsid w:val="057C7E60"/>
    <w:rsid w:val="05812237"/>
    <w:rsid w:val="05852631"/>
    <w:rsid w:val="058B39C0"/>
    <w:rsid w:val="05962606"/>
    <w:rsid w:val="059D24A8"/>
    <w:rsid w:val="05A86AF8"/>
    <w:rsid w:val="05A94A32"/>
    <w:rsid w:val="05B80C59"/>
    <w:rsid w:val="05C054C9"/>
    <w:rsid w:val="05C432C0"/>
    <w:rsid w:val="05C55124"/>
    <w:rsid w:val="05CD5D86"/>
    <w:rsid w:val="05CE65BE"/>
    <w:rsid w:val="05D069D9"/>
    <w:rsid w:val="05D31240"/>
    <w:rsid w:val="05D76C05"/>
    <w:rsid w:val="05E7509A"/>
    <w:rsid w:val="05FE4192"/>
    <w:rsid w:val="0618369B"/>
    <w:rsid w:val="0619721E"/>
    <w:rsid w:val="06222A9C"/>
    <w:rsid w:val="064435DB"/>
    <w:rsid w:val="064C7016"/>
    <w:rsid w:val="065536A8"/>
    <w:rsid w:val="06670810"/>
    <w:rsid w:val="066C559F"/>
    <w:rsid w:val="066F06B5"/>
    <w:rsid w:val="068154EF"/>
    <w:rsid w:val="06982838"/>
    <w:rsid w:val="06A05249"/>
    <w:rsid w:val="06A765D7"/>
    <w:rsid w:val="06B50CF4"/>
    <w:rsid w:val="06E17D3B"/>
    <w:rsid w:val="06F07F7E"/>
    <w:rsid w:val="06F74A75"/>
    <w:rsid w:val="070214F9"/>
    <w:rsid w:val="071F0864"/>
    <w:rsid w:val="072056BA"/>
    <w:rsid w:val="0734454D"/>
    <w:rsid w:val="073475A7"/>
    <w:rsid w:val="07372051"/>
    <w:rsid w:val="0743416C"/>
    <w:rsid w:val="075220F4"/>
    <w:rsid w:val="075B5D40"/>
    <w:rsid w:val="075C5614"/>
    <w:rsid w:val="076369A2"/>
    <w:rsid w:val="07972AF0"/>
    <w:rsid w:val="07B156E1"/>
    <w:rsid w:val="07B202F0"/>
    <w:rsid w:val="07B91BD9"/>
    <w:rsid w:val="07C65825"/>
    <w:rsid w:val="07E5385B"/>
    <w:rsid w:val="07F17661"/>
    <w:rsid w:val="081128A2"/>
    <w:rsid w:val="08193505"/>
    <w:rsid w:val="08290B80"/>
    <w:rsid w:val="08326375"/>
    <w:rsid w:val="08347634"/>
    <w:rsid w:val="08471E20"/>
    <w:rsid w:val="085D669F"/>
    <w:rsid w:val="085E716A"/>
    <w:rsid w:val="086016FD"/>
    <w:rsid w:val="08602EE2"/>
    <w:rsid w:val="086613B0"/>
    <w:rsid w:val="0869448C"/>
    <w:rsid w:val="0869623A"/>
    <w:rsid w:val="088070E8"/>
    <w:rsid w:val="08864AEE"/>
    <w:rsid w:val="088D67C1"/>
    <w:rsid w:val="088D67F2"/>
    <w:rsid w:val="0891753F"/>
    <w:rsid w:val="0898267C"/>
    <w:rsid w:val="089C0FC5"/>
    <w:rsid w:val="08A317B0"/>
    <w:rsid w:val="08AE1E9F"/>
    <w:rsid w:val="08B33959"/>
    <w:rsid w:val="08BF3B72"/>
    <w:rsid w:val="08C6368D"/>
    <w:rsid w:val="08C711B3"/>
    <w:rsid w:val="08CE42EF"/>
    <w:rsid w:val="08D119D4"/>
    <w:rsid w:val="08D14A87"/>
    <w:rsid w:val="08D631A4"/>
    <w:rsid w:val="08D833C0"/>
    <w:rsid w:val="08E04023"/>
    <w:rsid w:val="08E41D65"/>
    <w:rsid w:val="08E73603"/>
    <w:rsid w:val="08EE6740"/>
    <w:rsid w:val="08F33D56"/>
    <w:rsid w:val="08FA42EE"/>
    <w:rsid w:val="090D306A"/>
    <w:rsid w:val="09386829"/>
    <w:rsid w:val="094445B2"/>
    <w:rsid w:val="09464518"/>
    <w:rsid w:val="09483189"/>
    <w:rsid w:val="094D16B8"/>
    <w:rsid w:val="09526CCE"/>
    <w:rsid w:val="09554A11"/>
    <w:rsid w:val="095F3199"/>
    <w:rsid w:val="09622C8A"/>
    <w:rsid w:val="09664528"/>
    <w:rsid w:val="09694018"/>
    <w:rsid w:val="096B5FE2"/>
    <w:rsid w:val="09763BF8"/>
    <w:rsid w:val="09853F9F"/>
    <w:rsid w:val="098E1C76"/>
    <w:rsid w:val="09D84143"/>
    <w:rsid w:val="09DA3249"/>
    <w:rsid w:val="09E57B43"/>
    <w:rsid w:val="0A1C7B97"/>
    <w:rsid w:val="0A1E12A6"/>
    <w:rsid w:val="0A21673E"/>
    <w:rsid w:val="0A242651"/>
    <w:rsid w:val="0A270360"/>
    <w:rsid w:val="0A294FD4"/>
    <w:rsid w:val="0A375EC4"/>
    <w:rsid w:val="0A3B2B06"/>
    <w:rsid w:val="0A3D5178"/>
    <w:rsid w:val="0A404578"/>
    <w:rsid w:val="0A444601"/>
    <w:rsid w:val="0A4505E1"/>
    <w:rsid w:val="0A481E7F"/>
    <w:rsid w:val="0A4F76B2"/>
    <w:rsid w:val="0A6A629A"/>
    <w:rsid w:val="0A740EC6"/>
    <w:rsid w:val="0A7832CB"/>
    <w:rsid w:val="0A7908F2"/>
    <w:rsid w:val="0A80786B"/>
    <w:rsid w:val="0A8530D4"/>
    <w:rsid w:val="0A8A2498"/>
    <w:rsid w:val="0A964DEC"/>
    <w:rsid w:val="0ABB5302"/>
    <w:rsid w:val="0ABD461B"/>
    <w:rsid w:val="0AC41B3E"/>
    <w:rsid w:val="0AC70F55"/>
    <w:rsid w:val="0AE222D4"/>
    <w:rsid w:val="0AE24082"/>
    <w:rsid w:val="0AEB73DB"/>
    <w:rsid w:val="0AED2FDE"/>
    <w:rsid w:val="0AF3188B"/>
    <w:rsid w:val="0B0142F8"/>
    <w:rsid w:val="0B093D05"/>
    <w:rsid w:val="0B161F7E"/>
    <w:rsid w:val="0B1A7CC0"/>
    <w:rsid w:val="0B2160EF"/>
    <w:rsid w:val="0B302123"/>
    <w:rsid w:val="0B4E6B76"/>
    <w:rsid w:val="0B574A70"/>
    <w:rsid w:val="0B6D6042"/>
    <w:rsid w:val="0B7A0DF9"/>
    <w:rsid w:val="0B860EB1"/>
    <w:rsid w:val="0B927856"/>
    <w:rsid w:val="0B9510F4"/>
    <w:rsid w:val="0B9A2BAF"/>
    <w:rsid w:val="0BA209E5"/>
    <w:rsid w:val="0BA47589"/>
    <w:rsid w:val="0BAB0918"/>
    <w:rsid w:val="0BAC112D"/>
    <w:rsid w:val="0BB02E5F"/>
    <w:rsid w:val="0BB80726"/>
    <w:rsid w:val="0BC8771C"/>
    <w:rsid w:val="0BD31C1D"/>
    <w:rsid w:val="0BDC4F75"/>
    <w:rsid w:val="0BE1277B"/>
    <w:rsid w:val="0BEA7692"/>
    <w:rsid w:val="0BFC4E98"/>
    <w:rsid w:val="0C006EB6"/>
    <w:rsid w:val="0C032502"/>
    <w:rsid w:val="0C0F70F9"/>
    <w:rsid w:val="0C191D25"/>
    <w:rsid w:val="0C195E89"/>
    <w:rsid w:val="0C2B7942"/>
    <w:rsid w:val="0C300E1D"/>
    <w:rsid w:val="0C333CDD"/>
    <w:rsid w:val="0C421DC5"/>
    <w:rsid w:val="0C424FDC"/>
    <w:rsid w:val="0C5B233E"/>
    <w:rsid w:val="0C5E1E2E"/>
    <w:rsid w:val="0C7C23AA"/>
    <w:rsid w:val="0C8573BB"/>
    <w:rsid w:val="0C8962E9"/>
    <w:rsid w:val="0C8A2C23"/>
    <w:rsid w:val="0CBC373B"/>
    <w:rsid w:val="0CC86B88"/>
    <w:rsid w:val="0CD467D0"/>
    <w:rsid w:val="0CDA7AFE"/>
    <w:rsid w:val="0CE13B11"/>
    <w:rsid w:val="0CF83635"/>
    <w:rsid w:val="0D0227BA"/>
    <w:rsid w:val="0D0B5B12"/>
    <w:rsid w:val="0D1460BF"/>
    <w:rsid w:val="0D3A63F7"/>
    <w:rsid w:val="0D4728C2"/>
    <w:rsid w:val="0D5E38BE"/>
    <w:rsid w:val="0D643474"/>
    <w:rsid w:val="0D660F9A"/>
    <w:rsid w:val="0D750928"/>
    <w:rsid w:val="0D79085C"/>
    <w:rsid w:val="0D7A1990"/>
    <w:rsid w:val="0D81318C"/>
    <w:rsid w:val="0D927FE1"/>
    <w:rsid w:val="0D9D0734"/>
    <w:rsid w:val="0DA27AF9"/>
    <w:rsid w:val="0DA46A3A"/>
    <w:rsid w:val="0DC30804"/>
    <w:rsid w:val="0DC947AC"/>
    <w:rsid w:val="0DCE4B5A"/>
    <w:rsid w:val="0DD028B8"/>
    <w:rsid w:val="0DDA307D"/>
    <w:rsid w:val="0DE77D8E"/>
    <w:rsid w:val="0E06277D"/>
    <w:rsid w:val="0E132BE4"/>
    <w:rsid w:val="0E1C1B68"/>
    <w:rsid w:val="0E260548"/>
    <w:rsid w:val="0E277063"/>
    <w:rsid w:val="0E2844A2"/>
    <w:rsid w:val="0E590AFF"/>
    <w:rsid w:val="0E5937F7"/>
    <w:rsid w:val="0E6064D4"/>
    <w:rsid w:val="0E611762"/>
    <w:rsid w:val="0E7476E7"/>
    <w:rsid w:val="0E75310C"/>
    <w:rsid w:val="0E782F04"/>
    <w:rsid w:val="0E81289D"/>
    <w:rsid w:val="0E85634E"/>
    <w:rsid w:val="0E8A3350"/>
    <w:rsid w:val="0E90420D"/>
    <w:rsid w:val="0E990EFC"/>
    <w:rsid w:val="0E9D1BC7"/>
    <w:rsid w:val="0EA63619"/>
    <w:rsid w:val="0EAC08FD"/>
    <w:rsid w:val="0EBF5ED3"/>
    <w:rsid w:val="0ECF2B6F"/>
    <w:rsid w:val="0EDE2DB2"/>
    <w:rsid w:val="0EED5D92"/>
    <w:rsid w:val="0EF60444"/>
    <w:rsid w:val="0EF820C6"/>
    <w:rsid w:val="0EFE0E27"/>
    <w:rsid w:val="0EFE61C3"/>
    <w:rsid w:val="0F1955C5"/>
    <w:rsid w:val="0F1A506D"/>
    <w:rsid w:val="0F1E6991"/>
    <w:rsid w:val="0F220EF1"/>
    <w:rsid w:val="0F274759"/>
    <w:rsid w:val="0F4610F1"/>
    <w:rsid w:val="0F4E7F38"/>
    <w:rsid w:val="0F6B0AEA"/>
    <w:rsid w:val="0F785F3D"/>
    <w:rsid w:val="0F805642"/>
    <w:rsid w:val="0F81030D"/>
    <w:rsid w:val="0F8F206D"/>
    <w:rsid w:val="0F9B76DC"/>
    <w:rsid w:val="0FB2653A"/>
    <w:rsid w:val="0FB7564B"/>
    <w:rsid w:val="0FC0634A"/>
    <w:rsid w:val="0FC260D5"/>
    <w:rsid w:val="0FD52B41"/>
    <w:rsid w:val="0FE4089C"/>
    <w:rsid w:val="0FED14FF"/>
    <w:rsid w:val="0FF252EF"/>
    <w:rsid w:val="1010343F"/>
    <w:rsid w:val="101569D4"/>
    <w:rsid w:val="10256CA9"/>
    <w:rsid w:val="102962AF"/>
    <w:rsid w:val="102E38C6"/>
    <w:rsid w:val="103A085F"/>
    <w:rsid w:val="10441F54"/>
    <w:rsid w:val="104D01F0"/>
    <w:rsid w:val="10757746"/>
    <w:rsid w:val="10A06571"/>
    <w:rsid w:val="10A2566A"/>
    <w:rsid w:val="10B94258"/>
    <w:rsid w:val="10BF64FD"/>
    <w:rsid w:val="10C44237"/>
    <w:rsid w:val="10C7607E"/>
    <w:rsid w:val="10C9235E"/>
    <w:rsid w:val="10CA7A92"/>
    <w:rsid w:val="10CB400F"/>
    <w:rsid w:val="10D0497D"/>
    <w:rsid w:val="10D770E1"/>
    <w:rsid w:val="10DC5BF5"/>
    <w:rsid w:val="10E02E12"/>
    <w:rsid w:val="10E33B85"/>
    <w:rsid w:val="10EB5F53"/>
    <w:rsid w:val="10F01A00"/>
    <w:rsid w:val="10F160DB"/>
    <w:rsid w:val="10FB7C4C"/>
    <w:rsid w:val="10FC6EA7"/>
    <w:rsid w:val="11020FDA"/>
    <w:rsid w:val="112A7B78"/>
    <w:rsid w:val="113028E2"/>
    <w:rsid w:val="11333889"/>
    <w:rsid w:val="114919D9"/>
    <w:rsid w:val="11492EB7"/>
    <w:rsid w:val="114A0BD3"/>
    <w:rsid w:val="114A2981"/>
    <w:rsid w:val="115D26B4"/>
    <w:rsid w:val="11641C95"/>
    <w:rsid w:val="117973E7"/>
    <w:rsid w:val="117A1FBD"/>
    <w:rsid w:val="118F1102"/>
    <w:rsid w:val="1191235E"/>
    <w:rsid w:val="1193257A"/>
    <w:rsid w:val="119836EC"/>
    <w:rsid w:val="11A7392F"/>
    <w:rsid w:val="11A94FC3"/>
    <w:rsid w:val="11B23C23"/>
    <w:rsid w:val="11B54E22"/>
    <w:rsid w:val="11D72467"/>
    <w:rsid w:val="11EC57E6"/>
    <w:rsid w:val="11EE5A02"/>
    <w:rsid w:val="11FF376C"/>
    <w:rsid w:val="12057DA5"/>
    <w:rsid w:val="12244F80"/>
    <w:rsid w:val="12307BC6"/>
    <w:rsid w:val="12383682"/>
    <w:rsid w:val="12485D96"/>
    <w:rsid w:val="124A2235"/>
    <w:rsid w:val="124B69B1"/>
    <w:rsid w:val="125A6BF4"/>
    <w:rsid w:val="12645DEE"/>
    <w:rsid w:val="12751C80"/>
    <w:rsid w:val="12791770"/>
    <w:rsid w:val="128123D2"/>
    <w:rsid w:val="129272BC"/>
    <w:rsid w:val="12940628"/>
    <w:rsid w:val="129F0BD4"/>
    <w:rsid w:val="12A83E03"/>
    <w:rsid w:val="12B04A66"/>
    <w:rsid w:val="12B427A8"/>
    <w:rsid w:val="12B75DF4"/>
    <w:rsid w:val="12B835C4"/>
    <w:rsid w:val="12C07B8F"/>
    <w:rsid w:val="12D15108"/>
    <w:rsid w:val="12DA65B1"/>
    <w:rsid w:val="12E017EF"/>
    <w:rsid w:val="130130F1"/>
    <w:rsid w:val="132E741B"/>
    <w:rsid w:val="1344270A"/>
    <w:rsid w:val="134B7D96"/>
    <w:rsid w:val="13547AE7"/>
    <w:rsid w:val="13746135"/>
    <w:rsid w:val="137637C4"/>
    <w:rsid w:val="138A52B7"/>
    <w:rsid w:val="138F28CD"/>
    <w:rsid w:val="13980C3F"/>
    <w:rsid w:val="13A040E1"/>
    <w:rsid w:val="13A10F7E"/>
    <w:rsid w:val="13B3480E"/>
    <w:rsid w:val="13B356BC"/>
    <w:rsid w:val="13BA5B9C"/>
    <w:rsid w:val="13BB14CF"/>
    <w:rsid w:val="13C24E4E"/>
    <w:rsid w:val="13C66438"/>
    <w:rsid w:val="13CD4C56"/>
    <w:rsid w:val="13D6674E"/>
    <w:rsid w:val="13E868AF"/>
    <w:rsid w:val="13EC6230"/>
    <w:rsid w:val="13F37300"/>
    <w:rsid w:val="13FC61B5"/>
    <w:rsid w:val="13FC6308"/>
    <w:rsid w:val="14005BA2"/>
    <w:rsid w:val="140F0000"/>
    <w:rsid w:val="1413052D"/>
    <w:rsid w:val="14157276"/>
    <w:rsid w:val="141D25CF"/>
    <w:rsid w:val="141E6EE4"/>
    <w:rsid w:val="14292D22"/>
    <w:rsid w:val="143376FC"/>
    <w:rsid w:val="14445DAD"/>
    <w:rsid w:val="14467430"/>
    <w:rsid w:val="145A1BD1"/>
    <w:rsid w:val="145A2EDB"/>
    <w:rsid w:val="145F4995"/>
    <w:rsid w:val="147C72F5"/>
    <w:rsid w:val="147F0B94"/>
    <w:rsid w:val="148458D3"/>
    <w:rsid w:val="14942EF0"/>
    <w:rsid w:val="149C34F4"/>
    <w:rsid w:val="149E726C"/>
    <w:rsid w:val="14A31F9F"/>
    <w:rsid w:val="14A66E04"/>
    <w:rsid w:val="14C52031"/>
    <w:rsid w:val="14D51A25"/>
    <w:rsid w:val="14EA1640"/>
    <w:rsid w:val="14F21366"/>
    <w:rsid w:val="15063063"/>
    <w:rsid w:val="151439D2"/>
    <w:rsid w:val="15247267"/>
    <w:rsid w:val="152F4368"/>
    <w:rsid w:val="153604D4"/>
    <w:rsid w:val="153F1DB7"/>
    <w:rsid w:val="15457EA5"/>
    <w:rsid w:val="154B7944"/>
    <w:rsid w:val="15512530"/>
    <w:rsid w:val="155E2E9F"/>
    <w:rsid w:val="15604521"/>
    <w:rsid w:val="15657D89"/>
    <w:rsid w:val="15681628"/>
    <w:rsid w:val="157422D3"/>
    <w:rsid w:val="157C29EE"/>
    <w:rsid w:val="157D50D3"/>
    <w:rsid w:val="15840891"/>
    <w:rsid w:val="15973CBB"/>
    <w:rsid w:val="15A941B8"/>
    <w:rsid w:val="15AC1D9E"/>
    <w:rsid w:val="15B3511B"/>
    <w:rsid w:val="15E03730"/>
    <w:rsid w:val="15E72E94"/>
    <w:rsid w:val="15F35395"/>
    <w:rsid w:val="15FF5FFC"/>
    <w:rsid w:val="161C4127"/>
    <w:rsid w:val="16270B89"/>
    <w:rsid w:val="16346922"/>
    <w:rsid w:val="1638549E"/>
    <w:rsid w:val="16407570"/>
    <w:rsid w:val="16485C26"/>
    <w:rsid w:val="16551BAC"/>
    <w:rsid w:val="16573B76"/>
    <w:rsid w:val="165810F8"/>
    <w:rsid w:val="16585E87"/>
    <w:rsid w:val="16774218"/>
    <w:rsid w:val="16924BAE"/>
    <w:rsid w:val="169528F0"/>
    <w:rsid w:val="16A07475"/>
    <w:rsid w:val="16A22BE3"/>
    <w:rsid w:val="16BA5EB3"/>
    <w:rsid w:val="16C17241"/>
    <w:rsid w:val="16C46D32"/>
    <w:rsid w:val="16C805D0"/>
    <w:rsid w:val="16C858AD"/>
    <w:rsid w:val="16D03928"/>
    <w:rsid w:val="16DA102E"/>
    <w:rsid w:val="16EB0762"/>
    <w:rsid w:val="16ED0036"/>
    <w:rsid w:val="16F94C2D"/>
    <w:rsid w:val="17263548"/>
    <w:rsid w:val="17264713"/>
    <w:rsid w:val="172A32C5"/>
    <w:rsid w:val="17424826"/>
    <w:rsid w:val="174D4F1E"/>
    <w:rsid w:val="175B431A"/>
    <w:rsid w:val="17654098"/>
    <w:rsid w:val="17852965"/>
    <w:rsid w:val="17885FB1"/>
    <w:rsid w:val="17A728DB"/>
    <w:rsid w:val="17B52034"/>
    <w:rsid w:val="17BD20FF"/>
    <w:rsid w:val="17BE7C25"/>
    <w:rsid w:val="17CB4F24"/>
    <w:rsid w:val="17D631C0"/>
    <w:rsid w:val="18083490"/>
    <w:rsid w:val="180853EA"/>
    <w:rsid w:val="180F6D08"/>
    <w:rsid w:val="183B1409"/>
    <w:rsid w:val="183F2B14"/>
    <w:rsid w:val="1846189E"/>
    <w:rsid w:val="18504D21"/>
    <w:rsid w:val="185D2F9A"/>
    <w:rsid w:val="18692292"/>
    <w:rsid w:val="186B1B5B"/>
    <w:rsid w:val="186F4821"/>
    <w:rsid w:val="18722EE9"/>
    <w:rsid w:val="18786026"/>
    <w:rsid w:val="18836B98"/>
    <w:rsid w:val="189C5B5E"/>
    <w:rsid w:val="18A1521D"/>
    <w:rsid w:val="18A961DF"/>
    <w:rsid w:val="18CA215B"/>
    <w:rsid w:val="18D86AC4"/>
    <w:rsid w:val="18ED6A14"/>
    <w:rsid w:val="18FF5149"/>
    <w:rsid w:val="19187035"/>
    <w:rsid w:val="192E53FF"/>
    <w:rsid w:val="19313F68"/>
    <w:rsid w:val="19371A3D"/>
    <w:rsid w:val="19461C80"/>
    <w:rsid w:val="194659CD"/>
    <w:rsid w:val="194C3643"/>
    <w:rsid w:val="19687E48"/>
    <w:rsid w:val="196A1E12"/>
    <w:rsid w:val="19704F4F"/>
    <w:rsid w:val="197762DD"/>
    <w:rsid w:val="197C09C0"/>
    <w:rsid w:val="198729C4"/>
    <w:rsid w:val="198B327E"/>
    <w:rsid w:val="19977B06"/>
    <w:rsid w:val="199D3F96"/>
    <w:rsid w:val="19A35324"/>
    <w:rsid w:val="19C332D1"/>
    <w:rsid w:val="19EB65F6"/>
    <w:rsid w:val="19FE255B"/>
    <w:rsid w:val="1A27385F"/>
    <w:rsid w:val="1A2E2E40"/>
    <w:rsid w:val="1A2F023D"/>
    <w:rsid w:val="1A43097D"/>
    <w:rsid w:val="1A442663"/>
    <w:rsid w:val="1A444411"/>
    <w:rsid w:val="1A46096D"/>
    <w:rsid w:val="1A472154"/>
    <w:rsid w:val="1A577055"/>
    <w:rsid w:val="1A5A3DC8"/>
    <w:rsid w:val="1A5B79AD"/>
    <w:rsid w:val="1A5D3725"/>
    <w:rsid w:val="1A7016AA"/>
    <w:rsid w:val="1A7E0D95"/>
    <w:rsid w:val="1A864A2A"/>
    <w:rsid w:val="1A972984"/>
    <w:rsid w:val="1A9B5FFB"/>
    <w:rsid w:val="1AAA7A94"/>
    <w:rsid w:val="1AB53561"/>
    <w:rsid w:val="1ABD6DCA"/>
    <w:rsid w:val="1AC15A62"/>
    <w:rsid w:val="1AC437A4"/>
    <w:rsid w:val="1AD35795"/>
    <w:rsid w:val="1AE525DC"/>
    <w:rsid w:val="1AF35E37"/>
    <w:rsid w:val="1B087B35"/>
    <w:rsid w:val="1B121EE3"/>
    <w:rsid w:val="1B1F6C2C"/>
    <w:rsid w:val="1B4346C9"/>
    <w:rsid w:val="1B4E0310"/>
    <w:rsid w:val="1B4E306E"/>
    <w:rsid w:val="1B50619C"/>
    <w:rsid w:val="1B5F38EB"/>
    <w:rsid w:val="1B742AD4"/>
    <w:rsid w:val="1B9266FE"/>
    <w:rsid w:val="1BAB04C0"/>
    <w:rsid w:val="1BB235FD"/>
    <w:rsid w:val="1BB455C7"/>
    <w:rsid w:val="1BC872C4"/>
    <w:rsid w:val="1BD20194"/>
    <w:rsid w:val="1BD42C34"/>
    <w:rsid w:val="1BE0740A"/>
    <w:rsid w:val="1BE95EF7"/>
    <w:rsid w:val="1BF246FD"/>
    <w:rsid w:val="1BF95F5B"/>
    <w:rsid w:val="1BFD0D1C"/>
    <w:rsid w:val="1C116575"/>
    <w:rsid w:val="1C174E59"/>
    <w:rsid w:val="1C220468"/>
    <w:rsid w:val="1C2F2E9F"/>
    <w:rsid w:val="1C330BE1"/>
    <w:rsid w:val="1C3404B6"/>
    <w:rsid w:val="1C3B3861"/>
    <w:rsid w:val="1C4A59C7"/>
    <w:rsid w:val="1C534DE0"/>
    <w:rsid w:val="1C5823F6"/>
    <w:rsid w:val="1C5B3C94"/>
    <w:rsid w:val="1C6311C8"/>
    <w:rsid w:val="1C646FED"/>
    <w:rsid w:val="1C6A5690"/>
    <w:rsid w:val="1C8B0821"/>
    <w:rsid w:val="1CB6711D"/>
    <w:rsid w:val="1CBB6203"/>
    <w:rsid w:val="1CC36A1A"/>
    <w:rsid w:val="1CCD2DD0"/>
    <w:rsid w:val="1CCD730A"/>
    <w:rsid w:val="1CEB2D64"/>
    <w:rsid w:val="1CF06E1F"/>
    <w:rsid w:val="1CF10155"/>
    <w:rsid w:val="1CFC0FF0"/>
    <w:rsid w:val="1D022362"/>
    <w:rsid w:val="1D28626C"/>
    <w:rsid w:val="1D385D84"/>
    <w:rsid w:val="1D3E783E"/>
    <w:rsid w:val="1D3F269C"/>
    <w:rsid w:val="1D4209B0"/>
    <w:rsid w:val="1D514B84"/>
    <w:rsid w:val="1D5726AE"/>
    <w:rsid w:val="1D575918"/>
    <w:rsid w:val="1D744DFD"/>
    <w:rsid w:val="1D78582E"/>
    <w:rsid w:val="1D8D6156"/>
    <w:rsid w:val="1D94745E"/>
    <w:rsid w:val="1D960331"/>
    <w:rsid w:val="1DA376A1"/>
    <w:rsid w:val="1DA47CFF"/>
    <w:rsid w:val="1DB96EC4"/>
    <w:rsid w:val="1DBB6ED6"/>
    <w:rsid w:val="1DC15D79"/>
    <w:rsid w:val="1DC96566"/>
    <w:rsid w:val="1DCA7323"/>
    <w:rsid w:val="1DCB426C"/>
    <w:rsid w:val="1DCF492D"/>
    <w:rsid w:val="1DCF6B00"/>
    <w:rsid w:val="1DD1564A"/>
    <w:rsid w:val="1DE81558"/>
    <w:rsid w:val="1DEB4F0C"/>
    <w:rsid w:val="1DEE36F3"/>
    <w:rsid w:val="1E042D79"/>
    <w:rsid w:val="1E083423"/>
    <w:rsid w:val="1E171E3D"/>
    <w:rsid w:val="1E1E31CB"/>
    <w:rsid w:val="1E224D60"/>
    <w:rsid w:val="1E2C2D12"/>
    <w:rsid w:val="1E2E78B2"/>
    <w:rsid w:val="1E307441"/>
    <w:rsid w:val="1E366767"/>
    <w:rsid w:val="1E392745"/>
    <w:rsid w:val="1E4569AA"/>
    <w:rsid w:val="1E48649A"/>
    <w:rsid w:val="1E543091"/>
    <w:rsid w:val="1E5903EC"/>
    <w:rsid w:val="1E6901AA"/>
    <w:rsid w:val="1E6908EA"/>
    <w:rsid w:val="1E6F3A27"/>
    <w:rsid w:val="1E7F4F34"/>
    <w:rsid w:val="1E931D7E"/>
    <w:rsid w:val="1EA27CAC"/>
    <w:rsid w:val="1EAB44E7"/>
    <w:rsid w:val="1EBA2EF4"/>
    <w:rsid w:val="1EBA7A38"/>
    <w:rsid w:val="1EBE711A"/>
    <w:rsid w:val="1EBF0BEB"/>
    <w:rsid w:val="1EC024D4"/>
    <w:rsid w:val="1EC45B21"/>
    <w:rsid w:val="1EC97EED"/>
    <w:rsid w:val="1ECC70CB"/>
    <w:rsid w:val="1ECE2E43"/>
    <w:rsid w:val="1ED63AA6"/>
    <w:rsid w:val="1EDD71B1"/>
    <w:rsid w:val="1EE241D9"/>
    <w:rsid w:val="1EE47920"/>
    <w:rsid w:val="1EE53D34"/>
    <w:rsid w:val="1F043DDF"/>
    <w:rsid w:val="1F0820A1"/>
    <w:rsid w:val="1F0E4FEE"/>
    <w:rsid w:val="1F1318CB"/>
    <w:rsid w:val="1F2111C5"/>
    <w:rsid w:val="1F2760B0"/>
    <w:rsid w:val="1F2B5BA0"/>
    <w:rsid w:val="1F4251EC"/>
    <w:rsid w:val="1F482ADB"/>
    <w:rsid w:val="1F5350F7"/>
    <w:rsid w:val="1F5C15E9"/>
    <w:rsid w:val="1F647304"/>
    <w:rsid w:val="1F6C4E39"/>
    <w:rsid w:val="1F77033E"/>
    <w:rsid w:val="1F797D37"/>
    <w:rsid w:val="1F7C464D"/>
    <w:rsid w:val="1F8D6DC0"/>
    <w:rsid w:val="1F8F7B95"/>
    <w:rsid w:val="1F9A4BF8"/>
    <w:rsid w:val="1F9E2816"/>
    <w:rsid w:val="1FC7371A"/>
    <w:rsid w:val="1FE36AFF"/>
    <w:rsid w:val="1FE65F6B"/>
    <w:rsid w:val="1FE673DA"/>
    <w:rsid w:val="1FF36F81"/>
    <w:rsid w:val="200A1C59"/>
    <w:rsid w:val="201F5C40"/>
    <w:rsid w:val="204213F3"/>
    <w:rsid w:val="204D5FEA"/>
    <w:rsid w:val="204D6BAB"/>
    <w:rsid w:val="205E303E"/>
    <w:rsid w:val="20745325"/>
    <w:rsid w:val="208E288A"/>
    <w:rsid w:val="209B6D55"/>
    <w:rsid w:val="20B47E17"/>
    <w:rsid w:val="20B53A88"/>
    <w:rsid w:val="20E15E2F"/>
    <w:rsid w:val="20F070A1"/>
    <w:rsid w:val="21007424"/>
    <w:rsid w:val="210535B3"/>
    <w:rsid w:val="2120725A"/>
    <w:rsid w:val="21331671"/>
    <w:rsid w:val="213C22E6"/>
    <w:rsid w:val="2144119B"/>
    <w:rsid w:val="21484179"/>
    <w:rsid w:val="2149055F"/>
    <w:rsid w:val="214E201A"/>
    <w:rsid w:val="217001E2"/>
    <w:rsid w:val="21743377"/>
    <w:rsid w:val="21771570"/>
    <w:rsid w:val="217A696B"/>
    <w:rsid w:val="218A3F2C"/>
    <w:rsid w:val="218C499A"/>
    <w:rsid w:val="21977533"/>
    <w:rsid w:val="219D4601"/>
    <w:rsid w:val="21A24D84"/>
    <w:rsid w:val="21AE2AB8"/>
    <w:rsid w:val="21AF5ECA"/>
    <w:rsid w:val="21C30312"/>
    <w:rsid w:val="21E95156"/>
    <w:rsid w:val="21FC3824"/>
    <w:rsid w:val="220750D9"/>
    <w:rsid w:val="220B1CB9"/>
    <w:rsid w:val="2216567D"/>
    <w:rsid w:val="22264270"/>
    <w:rsid w:val="22284619"/>
    <w:rsid w:val="223631D9"/>
    <w:rsid w:val="224156DA"/>
    <w:rsid w:val="22471B27"/>
    <w:rsid w:val="22552F34"/>
    <w:rsid w:val="225562CE"/>
    <w:rsid w:val="226118D9"/>
    <w:rsid w:val="22627B69"/>
    <w:rsid w:val="227921AD"/>
    <w:rsid w:val="22792CA9"/>
    <w:rsid w:val="22853819"/>
    <w:rsid w:val="228A62C8"/>
    <w:rsid w:val="228E67DE"/>
    <w:rsid w:val="229730E7"/>
    <w:rsid w:val="22AF4D3A"/>
    <w:rsid w:val="22C64F09"/>
    <w:rsid w:val="22C81958"/>
    <w:rsid w:val="22D402FC"/>
    <w:rsid w:val="22DE117B"/>
    <w:rsid w:val="22F120DB"/>
    <w:rsid w:val="22FB1D2D"/>
    <w:rsid w:val="22FB7F7F"/>
    <w:rsid w:val="22FD7853"/>
    <w:rsid w:val="23040BE2"/>
    <w:rsid w:val="23045086"/>
    <w:rsid w:val="23101BA9"/>
    <w:rsid w:val="231177A3"/>
    <w:rsid w:val="231734D0"/>
    <w:rsid w:val="2318160F"/>
    <w:rsid w:val="232079E6"/>
    <w:rsid w:val="2322593B"/>
    <w:rsid w:val="232C0139"/>
    <w:rsid w:val="232F71A8"/>
    <w:rsid w:val="233C31B9"/>
    <w:rsid w:val="2342795C"/>
    <w:rsid w:val="235411E7"/>
    <w:rsid w:val="235A6004"/>
    <w:rsid w:val="235F7C22"/>
    <w:rsid w:val="23623B5A"/>
    <w:rsid w:val="23704FA0"/>
    <w:rsid w:val="23734838"/>
    <w:rsid w:val="23735D67"/>
    <w:rsid w:val="237B0335"/>
    <w:rsid w:val="23841D23"/>
    <w:rsid w:val="2388314A"/>
    <w:rsid w:val="23931F66"/>
    <w:rsid w:val="23B03E52"/>
    <w:rsid w:val="23B60455"/>
    <w:rsid w:val="23C91E2B"/>
    <w:rsid w:val="23CB7951"/>
    <w:rsid w:val="23CD2C48"/>
    <w:rsid w:val="23CF4B3C"/>
    <w:rsid w:val="23D22A8E"/>
    <w:rsid w:val="23D34A58"/>
    <w:rsid w:val="23D5432C"/>
    <w:rsid w:val="23E4744B"/>
    <w:rsid w:val="23F275C4"/>
    <w:rsid w:val="23F73E0C"/>
    <w:rsid w:val="24184829"/>
    <w:rsid w:val="24280900"/>
    <w:rsid w:val="24284DA4"/>
    <w:rsid w:val="242A0480"/>
    <w:rsid w:val="243D7865"/>
    <w:rsid w:val="243E0123"/>
    <w:rsid w:val="245636BF"/>
    <w:rsid w:val="24651B54"/>
    <w:rsid w:val="24691F98"/>
    <w:rsid w:val="247C5F34"/>
    <w:rsid w:val="24855D52"/>
    <w:rsid w:val="248D10AB"/>
    <w:rsid w:val="248D61C8"/>
    <w:rsid w:val="24A51F50"/>
    <w:rsid w:val="24A93651"/>
    <w:rsid w:val="24BE4D5C"/>
    <w:rsid w:val="24C50F61"/>
    <w:rsid w:val="24D47D74"/>
    <w:rsid w:val="24D804D4"/>
    <w:rsid w:val="24E46F1D"/>
    <w:rsid w:val="24EF62AE"/>
    <w:rsid w:val="24F030F2"/>
    <w:rsid w:val="24F15196"/>
    <w:rsid w:val="24F67B55"/>
    <w:rsid w:val="2500362B"/>
    <w:rsid w:val="25116D14"/>
    <w:rsid w:val="251610A0"/>
    <w:rsid w:val="25164BFC"/>
    <w:rsid w:val="2519649B"/>
    <w:rsid w:val="252823DE"/>
    <w:rsid w:val="252C765B"/>
    <w:rsid w:val="252F1A95"/>
    <w:rsid w:val="2535116B"/>
    <w:rsid w:val="253617BA"/>
    <w:rsid w:val="253915F1"/>
    <w:rsid w:val="25485D93"/>
    <w:rsid w:val="254C2D14"/>
    <w:rsid w:val="254C4853"/>
    <w:rsid w:val="254E4396"/>
    <w:rsid w:val="255B5A58"/>
    <w:rsid w:val="255D282B"/>
    <w:rsid w:val="25704DEB"/>
    <w:rsid w:val="257D4C7B"/>
    <w:rsid w:val="25873D4C"/>
    <w:rsid w:val="25902C01"/>
    <w:rsid w:val="25926F56"/>
    <w:rsid w:val="25AE13D7"/>
    <w:rsid w:val="25C51666"/>
    <w:rsid w:val="25CC2E6A"/>
    <w:rsid w:val="25DD6361"/>
    <w:rsid w:val="25ED205C"/>
    <w:rsid w:val="25F018F1"/>
    <w:rsid w:val="25F94A58"/>
    <w:rsid w:val="25FE400E"/>
    <w:rsid w:val="26127ABA"/>
    <w:rsid w:val="26143832"/>
    <w:rsid w:val="261A696E"/>
    <w:rsid w:val="262128F5"/>
    <w:rsid w:val="26284BE7"/>
    <w:rsid w:val="262D044F"/>
    <w:rsid w:val="264B2FCC"/>
    <w:rsid w:val="264B6B28"/>
    <w:rsid w:val="265473BA"/>
    <w:rsid w:val="265D154E"/>
    <w:rsid w:val="265E04F5"/>
    <w:rsid w:val="266377A8"/>
    <w:rsid w:val="267918E7"/>
    <w:rsid w:val="267E514F"/>
    <w:rsid w:val="26811A8B"/>
    <w:rsid w:val="26976664"/>
    <w:rsid w:val="26A81B4E"/>
    <w:rsid w:val="26B35DCE"/>
    <w:rsid w:val="26B446CD"/>
    <w:rsid w:val="26B648E9"/>
    <w:rsid w:val="26CB1A16"/>
    <w:rsid w:val="26CD578F"/>
    <w:rsid w:val="26EA00EF"/>
    <w:rsid w:val="26EE148E"/>
    <w:rsid w:val="26F176CF"/>
    <w:rsid w:val="26F7781D"/>
    <w:rsid w:val="26FE003E"/>
    <w:rsid w:val="271A2CD1"/>
    <w:rsid w:val="271D04C4"/>
    <w:rsid w:val="2729330D"/>
    <w:rsid w:val="27301CDE"/>
    <w:rsid w:val="27315D1D"/>
    <w:rsid w:val="27391076"/>
    <w:rsid w:val="27394EF5"/>
    <w:rsid w:val="273D2914"/>
    <w:rsid w:val="274912B9"/>
    <w:rsid w:val="2751342B"/>
    <w:rsid w:val="27530387"/>
    <w:rsid w:val="275859A0"/>
    <w:rsid w:val="275A1718"/>
    <w:rsid w:val="27750300"/>
    <w:rsid w:val="27772DE3"/>
    <w:rsid w:val="27871DE1"/>
    <w:rsid w:val="278D083F"/>
    <w:rsid w:val="279F0788"/>
    <w:rsid w:val="27A209C9"/>
    <w:rsid w:val="27A75FE0"/>
    <w:rsid w:val="27A87611"/>
    <w:rsid w:val="27B33019"/>
    <w:rsid w:val="27BF6C56"/>
    <w:rsid w:val="27C22E19"/>
    <w:rsid w:val="27D31A82"/>
    <w:rsid w:val="27E2170E"/>
    <w:rsid w:val="27E514C2"/>
    <w:rsid w:val="27E86D24"/>
    <w:rsid w:val="27E92A9C"/>
    <w:rsid w:val="27EE00B2"/>
    <w:rsid w:val="27F51441"/>
    <w:rsid w:val="27F54F9D"/>
    <w:rsid w:val="28130EA7"/>
    <w:rsid w:val="28177609"/>
    <w:rsid w:val="28221B0A"/>
    <w:rsid w:val="28285372"/>
    <w:rsid w:val="283006CB"/>
    <w:rsid w:val="283C7070"/>
    <w:rsid w:val="285100CD"/>
    <w:rsid w:val="28537F15"/>
    <w:rsid w:val="286345FC"/>
    <w:rsid w:val="286F10AE"/>
    <w:rsid w:val="287E278E"/>
    <w:rsid w:val="2890116A"/>
    <w:rsid w:val="28920A3E"/>
    <w:rsid w:val="28934D3A"/>
    <w:rsid w:val="28B04E0E"/>
    <w:rsid w:val="28B210E0"/>
    <w:rsid w:val="28B30264"/>
    <w:rsid w:val="28B409B4"/>
    <w:rsid w:val="28BE5377"/>
    <w:rsid w:val="28CA467C"/>
    <w:rsid w:val="28CF57EE"/>
    <w:rsid w:val="28E71A2A"/>
    <w:rsid w:val="28EA17C3"/>
    <w:rsid w:val="28EE5A8C"/>
    <w:rsid w:val="28FE60D3"/>
    <w:rsid w:val="290D6316"/>
    <w:rsid w:val="29161FA6"/>
    <w:rsid w:val="292E7AD5"/>
    <w:rsid w:val="293667A2"/>
    <w:rsid w:val="29475CCC"/>
    <w:rsid w:val="29606D8E"/>
    <w:rsid w:val="29617D47"/>
    <w:rsid w:val="29693E72"/>
    <w:rsid w:val="296A19BB"/>
    <w:rsid w:val="296C74E1"/>
    <w:rsid w:val="29714AF7"/>
    <w:rsid w:val="298011DE"/>
    <w:rsid w:val="29897672"/>
    <w:rsid w:val="299627B0"/>
    <w:rsid w:val="29A273A6"/>
    <w:rsid w:val="29AC5B2F"/>
    <w:rsid w:val="29B158E0"/>
    <w:rsid w:val="29BB5D72"/>
    <w:rsid w:val="29C63095"/>
    <w:rsid w:val="29E03A2B"/>
    <w:rsid w:val="29EB2AFB"/>
    <w:rsid w:val="2A224C83"/>
    <w:rsid w:val="2A314286"/>
    <w:rsid w:val="2A4725A0"/>
    <w:rsid w:val="2A5D507B"/>
    <w:rsid w:val="2A6F54DA"/>
    <w:rsid w:val="2A77438F"/>
    <w:rsid w:val="2A7B66C2"/>
    <w:rsid w:val="2A936DFF"/>
    <w:rsid w:val="2A954815"/>
    <w:rsid w:val="2AA30295"/>
    <w:rsid w:val="2AA53737"/>
    <w:rsid w:val="2AA72206"/>
    <w:rsid w:val="2AA92CE2"/>
    <w:rsid w:val="2ABB0BEF"/>
    <w:rsid w:val="2ABC1DA2"/>
    <w:rsid w:val="2AC54ABA"/>
    <w:rsid w:val="2ACA0963"/>
    <w:rsid w:val="2ACB0237"/>
    <w:rsid w:val="2ACB46DB"/>
    <w:rsid w:val="2AEC6B2B"/>
    <w:rsid w:val="2AED63FF"/>
    <w:rsid w:val="2AF40319"/>
    <w:rsid w:val="2B0A7CDD"/>
    <w:rsid w:val="2B0D0850"/>
    <w:rsid w:val="2B1E480B"/>
    <w:rsid w:val="2B261911"/>
    <w:rsid w:val="2B322708"/>
    <w:rsid w:val="2B342280"/>
    <w:rsid w:val="2B4F306B"/>
    <w:rsid w:val="2B5713B8"/>
    <w:rsid w:val="2B575539"/>
    <w:rsid w:val="2B65243A"/>
    <w:rsid w:val="2B6568DD"/>
    <w:rsid w:val="2B6C37C8"/>
    <w:rsid w:val="2B86183E"/>
    <w:rsid w:val="2B8760F7"/>
    <w:rsid w:val="2B9B40AD"/>
    <w:rsid w:val="2BA72461"/>
    <w:rsid w:val="2BA8654D"/>
    <w:rsid w:val="2BAD0C2F"/>
    <w:rsid w:val="2BAD6332"/>
    <w:rsid w:val="2BAE3DE1"/>
    <w:rsid w:val="2BC42FBB"/>
    <w:rsid w:val="2BC5112A"/>
    <w:rsid w:val="2BE07AE2"/>
    <w:rsid w:val="2BE34A3F"/>
    <w:rsid w:val="2BF20620"/>
    <w:rsid w:val="2BF67536"/>
    <w:rsid w:val="2BF82757"/>
    <w:rsid w:val="2C063C1D"/>
    <w:rsid w:val="2C091017"/>
    <w:rsid w:val="2C0B1233"/>
    <w:rsid w:val="2C1B6F9C"/>
    <w:rsid w:val="2C204F13"/>
    <w:rsid w:val="2C22657D"/>
    <w:rsid w:val="2C4D6197"/>
    <w:rsid w:val="2C55425C"/>
    <w:rsid w:val="2C636CAF"/>
    <w:rsid w:val="2C695F59"/>
    <w:rsid w:val="2C70332B"/>
    <w:rsid w:val="2C770676"/>
    <w:rsid w:val="2C771D6E"/>
    <w:rsid w:val="2C7A0167"/>
    <w:rsid w:val="2C7E722B"/>
    <w:rsid w:val="2C8114F5"/>
    <w:rsid w:val="2C815051"/>
    <w:rsid w:val="2C891ED6"/>
    <w:rsid w:val="2C8C1345"/>
    <w:rsid w:val="2C923FDF"/>
    <w:rsid w:val="2C9F197B"/>
    <w:rsid w:val="2CA46F92"/>
    <w:rsid w:val="2CA70908"/>
    <w:rsid w:val="2CA84CD4"/>
    <w:rsid w:val="2CB344BB"/>
    <w:rsid w:val="2CB573F1"/>
    <w:rsid w:val="2CB847EB"/>
    <w:rsid w:val="2CBC077F"/>
    <w:rsid w:val="2CD7148A"/>
    <w:rsid w:val="2CD73969"/>
    <w:rsid w:val="2CE13D42"/>
    <w:rsid w:val="2CEA60EF"/>
    <w:rsid w:val="2CF40FAD"/>
    <w:rsid w:val="2CF47F19"/>
    <w:rsid w:val="2D085772"/>
    <w:rsid w:val="2D2500D2"/>
    <w:rsid w:val="2D340315"/>
    <w:rsid w:val="2D36007C"/>
    <w:rsid w:val="2D480265"/>
    <w:rsid w:val="2D492443"/>
    <w:rsid w:val="2D4B2902"/>
    <w:rsid w:val="2D4F15F3"/>
    <w:rsid w:val="2D627B0B"/>
    <w:rsid w:val="2D6C5D01"/>
    <w:rsid w:val="2D6D1A79"/>
    <w:rsid w:val="2D83304B"/>
    <w:rsid w:val="2D852054"/>
    <w:rsid w:val="2D8D1DD1"/>
    <w:rsid w:val="2D8D5C78"/>
    <w:rsid w:val="2D8F19F0"/>
    <w:rsid w:val="2D9275CC"/>
    <w:rsid w:val="2D945258"/>
    <w:rsid w:val="2D990AC0"/>
    <w:rsid w:val="2D99461C"/>
    <w:rsid w:val="2D9D410D"/>
    <w:rsid w:val="2DAC07F4"/>
    <w:rsid w:val="2DC53663"/>
    <w:rsid w:val="2DC84F02"/>
    <w:rsid w:val="2DCA2A28"/>
    <w:rsid w:val="2DE27408"/>
    <w:rsid w:val="2DF5484D"/>
    <w:rsid w:val="2E104488"/>
    <w:rsid w:val="2E1819E5"/>
    <w:rsid w:val="2E222864"/>
    <w:rsid w:val="2E410C79"/>
    <w:rsid w:val="2E5B7B24"/>
    <w:rsid w:val="2E5F13C2"/>
    <w:rsid w:val="2E6B5DCC"/>
    <w:rsid w:val="2E6C2C73"/>
    <w:rsid w:val="2E883192"/>
    <w:rsid w:val="2E9372BE"/>
    <w:rsid w:val="2EA25753"/>
    <w:rsid w:val="2EA540B4"/>
    <w:rsid w:val="2EAB56A1"/>
    <w:rsid w:val="2EB76AF9"/>
    <w:rsid w:val="2ECE6548"/>
    <w:rsid w:val="2ED0406E"/>
    <w:rsid w:val="2EEF3653"/>
    <w:rsid w:val="2EEF7C8E"/>
    <w:rsid w:val="2EF35FAE"/>
    <w:rsid w:val="2EFF3495"/>
    <w:rsid w:val="2F0C286A"/>
    <w:rsid w:val="2F177EEF"/>
    <w:rsid w:val="2F2064A7"/>
    <w:rsid w:val="2F42589D"/>
    <w:rsid w:val="2F4607D4"/>
    <w:rsid w:val="2F5051AF"/>
    <w:rsid w:val="2F5F53F2"/>
    <w:rsid w:val="2F7B222C"/>
    <w:rsid w:val="2F7F4F3D"/>
    <w:rsid w:val="2F827A5E"/>
    <w:rsid w:val="2F8337D6"/>
    <w:rsid w:val="2F882B9B"/>
    <w:rsid w:val="2F8C218A"/>
    <w:rsid w:val="2F932426"/>
    <w:rsid w:val="2F9C03F4"/>
    <w:rsid w:val="2FA14DEA"/>
    <w:rsid w:val="2FAC0849"/>
    <w:rsid w:val="2FC040E2"/>
    <w:rsid w:val="2FC35981"/>
    <w:rsid w:val="2FD656B4"/>
    <w:rsid w:val="2FDE1590"/>
    <w:rsid w:val="2FE204FD"/>
    <w:rsid w:val="2FE97C3A"/>
    <w:rsid w:val="2FF512D5"/>
    <w:rsid w:val="2FF7387C"/>
    <w:rsid w:val="2FF77A64"/>
    <w:rsid w:val="30006BD5"/>
    <w:rsid w:val="30234F25"/>
    <w:rsid w:val="302C1778"/>
    <w:rsid w:val="302E54F0"/>
    <w:rsid w:val="30322716"/>
    <w:rsid w:val="303643A5"/>
    <w:rsid w:val="30411B2E"/>
    <w:rsid w:val="30444BA5"/>
    <w:rsid w:val="30470B7C"/>
    <w:rsid w:val="304D7662"/>
    <w:rsid w:val="304E5B92"/>
    <w:rsid w:val="304F6E45"/>
    <w:rsid w:val="305807BF"/>
    <w:rsid w:val="30793A8C"/>
    <w:rsid w:val="30963095"/>
    <w:rsid w:val="30980BBB"/>
    <w:rsid w:val="30987933"/>
    <w:rsid w:val="309B06AC"/>
    <w:rsid w:val="30C505ED"/>
    <w:rsid w:val="30C6397A"/>
    <w:rsid w:val="30CC6AB7"/>
    <w:rsid w:val="30DA012D"/>
    <w:rsid w:val="30DB6CFA"/>
    <w:rsid w:val="30E87D95"/>
    <w:rsid w:val="30E91369"/>
    <w:rsid w:val="30F32296"/>
    <w:rsid w:val="30F73B34"/>
    <w:rsid w:val="30FC4E57"/>
    <w:rsid w:val="31055A2E"/>
    <w:rsid w:val="313C59EB"/>
    <w:rsid w:val="31466869"/>
    <w:rsid w:val="314D19A6"/>
    <w:rsid w:val="3150593A"/>
    <w:rsid w:val="316311C9"/>
    <w:rsid w:val="3166515D"/>
    <w:rsid w:val="316D3DF6"/>
    <w:rsid w:val="316E0AD0"/>
    <w:rsid w:val="316F5DC0"/>
    <w:rsid w:val="31716284"/>
    <w:rsid w:val="3183186B"/>
    <w:rsid w:val="319D7376"/>
    <w:rsid w:val="31AD0696"/>
    <w:rsid w:val="31AD4B3A"/>
    <w:rsid w:val="31CA56EC"/>
    <w:rsid w:val="31CA60F3"/>
    <w:rsid w:val="31DA4154"/>
    <w:rsid w:val="31E032E3"/>
    <w:rsid w:val="31FC517A"/>
    <w:rsid w:val="320676A3"/>
    <w:rsid w:val="3207249C"/>
    <w:rsid w:val="32081D71"/>
    <w:rsid w:val="32172601"/>
    <w:rsid w:val="321B5F48"/>
    <w:rsid w:val="32291D80"/>
    <w:rsid w:val="322A7567"/>
    <w:rsid w:val="32496611"/>
    <w:rsid w:val="324C2981"/>
    <w:rsid w:val="32506BF9"/>
    <w:rsid w:val="325D5D8E"/>
    <w:rsid w:val="32621481"/>
    <w:rsid w:val="326E7E26"/>
    <w:rsid w:val="328A3DC5"/>
    <w:rsid w:val="328D6F97"/>
    <w:rsid w:val="32A41A99"/>
    <w:rsid w:val="32AB533C"/>
    <w:rsid w:val="32B2653D"/>
    <w:rsid w:val="32B31CDC"/>
    <w:rsid w:val="32B706A3"/>
    <w:rsid w:val="32BD0DAD"/>
    <w:rsid w:val="32C1089D"/>
    <w:rsid w:val="32C556BE"/>
    <w:rsid w:val="32D147E3"/>
    <w:rsid w:val="32D63A96"/>
    <w:rsid w:val="32DE750E"/>
    <w:rsid w:val="32DF0D23"/>
    <w:rsid w:val="32E60304"/>
    <w:rsid w:val="330864CC"/>
    <w:rsid w:val="331E5FDE"/>
    <w:rsid w:val="332C6155"/>
    <w:rsid w:val="33356B95"/>
    <w:rsid w:val="33357E15"/>
    <w:rsid w:val="33405E48"/>
    <w:rsid w:val="33527747"/>
    <w:rsid w:val="33572FB0"/>
    <w:rsid w:val="335F08C2"/>
    <w:rsid w:val="33624526"/>
    <w:rsid w:val="33641229"/>
    <w:rsid w:val="336501F8"/>
    <w:rsid w:val="337565DF"/>
    <w:rsid w:val="33784CD4"/>
    <w:rsid w:val="337F3EEB"/>
    <w:rsid w:val="337F6063"/>
    <w:rsid w:val="338B0EAB"/>
    <w:rsid w:val="33945FB2"/>
    <w:rsid w:val="33970A31"/>
    <w:rsid w:val="339B64CD"/>
    <w:rsid w:val="339C4E66"/>
    <w:rsid w:val="33AC2F08"/>
    <w:rsid w:val="33B57CD6"/>
    <w:rsid w:val="33BB353F"/>
    <w:rsid w:val="33BE58A1"/>
    <w:rsid w:val="33C00B55"/>
    <w:rsid w:val="33C06DA7"/>
    <w:rsid w:val="33C10429"/>
    <w:rsid w:val="33C63C91"/>
    <w:rsid w:val="33CA2E03"/>
    <w:rsid w:val="33E36CF5"/>
    <w:rsid w:val="33FB7DDF"/>
    <w:rsid w:val="34131C9F"/>
    <w:rsid w:val="342E7327"/>
    <w:rsid w:val="343017E0"/>
    <w:rsid w:val="3431669F"/>
    <w:rsid w:val="343C3F54"/>
    <w:rsid w:val="346239BA"/>
    <w:rsid w:val="346314E0"/>
    <w:rsid w:val="34711E4F"/>
    <w:rsid w:val="34733E19"/>
    <w:rsid w:val="34757B91"/>
    <w:rsid w:val="34937C8D"/>
    <w:rsid w:val="34A00995"/>
    <w:rsid w:val="34BB3BE7"/>
    <w:rsid w:val="34CA36DC"/>
    <w:rsid w:val="34CC52D7"/>
    <w:rsid w:val="34CF4B39"/>
    <w:rsid w:val="34D80120"/>
    <w:rsid w:val="34DF500B"/>
    <w:rsid w:val="34E32CD4"/>
    <w:rsid w:val="34F5482E"/>
    <w:rsid w:val="35032864"/>
    <w:rsid w:val="35066A3B"/>
    <w:rsid w:val="350672C8"/>
    <w:rsid w:val="351F5D4F"/>
    <w:rsid w:val="35215623"/>
    <w:rsid w:val="353164F9"/>
    <w:rsid w:val="3538471B"/>
    <w:rsid w:val="353A16C4"/>
    <w:rsid w:val="354457B6"/>
    <w:rsid w:val="355377A7"/>
    <w:rsid w:val="355C2AFF"/>
    <w:rsid w:val="356C061A"/>
    <w:rsid w:val="357B28D6"/>
    <w:rsid w:val="358D0F0B"/>
    <w:rsid w:val="359C114E"/>
    <w:rsid w:val="35B069A7"/>
    <w:rsid w:val="35BE2448"/>
    <w:rsid w:val="35CC2F71"/>
    <w:rsid w:val="35DF103A"/>
    <w:rsid w:val="35E623C9"/>
    <w:rsid w:val="35F727E8"/>
    <w:rsid w:val="35F875DA"/>
    <w:rsid w:val="35F9034E"/>
    <w:rsid w:val="35F920FC"/>
    <w:rsid w:val="35FB2318"/>
    <w:rsid w:val="36034D29"/>
    <w:rsid w:val="36064819"/>
    <w:rsid w:val="36104FF7"/>
    <w:rsid w:val="36283BA1"/>
    <w:rsid w:val="362850E7"/>
    <w:rsid w:val="363D46DF"/>
    <w:rsid w:val="364041CF"/>
    <w:rsid w:val="36545584"/>
    <w:rsid w:val="365E4F6F"/>
    <w:rsid w:val="366559E4"/>
    <w:rsid w:val="367B5F90"/>
    <w:rsid w:val="36826596"/>
    <w:rsid w:val="36857E34"/>
    <w:rsid w:val="368853F0"/>
    <w:rsid w:val="368D05F6"/>
    <w:rsid w:val="368E6998"/>
    <w:rsid w:val="36987B67"/>
    <w:rsid w:val="369E2CA4"/>
    <w:rsid w:val="36B06CE0"/>
    <w:rsid w:val="36B973A6"/>
    <w:rsid w:val="36CA02B7"/>
    <w:rsid w:val="36DB449D"/>
    <w:rsid w:val="36E921AB"/>
    <w:rsid w:val="36F9612C"/>
    <w:rsid w:val="36FB1E6A"/>
    <w:rsid w:val="36FD79CA"/>
    <w:rsid w:val="37015757"/>
    <w:rsid w:val="370757A2"/>
    <w:rsid w:val="37193323"/>
    <w:rsid w:val="371D0614"/>
    <w:rsid w:val="37427AD3"/>
    <w:rsid w:val="374750E9"/>
    <w:rsid w:val="37475806"/>
    <w:rsid w:val="37603F8F"/>
    <w:rsid w:val="376712E7"/>
    <w:rsid w:val="37757B4A"/>
    <w:rsid w:val="3781684D"/>
    <w:rsid w:val="379426EC"/>
    <w:rsid w:val="37971BCD"/>
    <w:rsid w:val="379E11AD"/>
    <w:rsid w:val="37AA0E19"/>
    <w:rsid w:val="37B207B5"/>
    <w:rsid w:val="37C07ED4"/>
    <w:rsid w:val="37CB7AC8"/>
    <w:rsid w:val="37D56B99"/>
    <w:rsid w:val="37E42938"/>
    <w:rsid w:val="37E868CC"/>
    <w:rsid w:val="37F65661"/>
    <w:rsid w:val="37FE5A33"/>
    <w:rsid w:val="38172D0E"/>
    <w:rsid w:val="381F0AD4"/>
    <w:rsid w:val="38204CD5"/>
    <w:rsid w:val="3828678E"/>
    <w:rsid w:val="38402264"/>
    <w:rsid w:val="384653A1"/>
    <w:rsid w:val="384D3C8C"/>
    <w:rsid w:val="38523D46"/>
    <w:rsid w:val="385555E4"/>
    <w:rsid w:val="38613A9C"/>
    <w:rsid w:val="38653A79"/>
    <w:rsid w:val="38934A8A"/>
    <w:rsid w:val="389C60A9"/>
    <w:rsid w:val="38A00F55"/>
    <w:rsid w:val="38AA3B82"/>
    <w:rsid w:val="38B467AE"/>
    <w:rsid w:val="38C0026E"/>
    <w:rsid w:val="38C764E2"/>
    <w:rsid w:val="38CC7F9C"/>
    <w:rsid w:val="38E20E8A"/>
    <w:rsid w:val="38F60B75"/>
    <w:rsid w:val="38FE4721"/>
    <w:rsid w:val="39025810"/>
    <w:rsid w:val="39086B81"/>
    <w:rsid w:val="390B0AC4"/>
    <w:rsid w:val="39162FC5"/>
    <w:rsid w:val="392C6D82"/>
    <w:rsid w:val="392D4857"/>
    <w:rsid w:val="39396CB4"/>
    <w:rsid w:val="394757F3"/>
    <w:rsid w:val="395B4E7C"/>
    <w:rsid w:val="396328A2"/>
    <w:rsid w:val="39741957"/>
    <w:rsid w:val="39754190"/>
    <w:rsid w:val="397F00BC"/>
    <w:rsid w:val="39834996"/>
    <w:rsid w:val="398E3221"/>
    <w:rsid w:val="39900FC9"/>
    <w:rsid w:val="39957EEF"/>
    <w:rsid w:val="39A20CFD"/>
    <w:rsid w:val="39A700C1"/>
    <w:rsid w:val="39A86313"/>
    <w:rsid w:val="39B131B3"/>
    <w:rsid w:val="39BC3B6C"/>
    <w:rsid w:val="39CB0653"/>
    <w:rsid w:val="39D66258"/>
    <w:rsid w:val="39DF3CFF"/>
    <w:rsid w:val="3A057077"/>
    <w:rsid w:val="3A0741FA"/>
    <w:rsid w:val="3A155D47"/>
    <w:rsid w:val="3A3000B7"/>
    <w:rsid w:val="3A304566"/>
    <w:rsid w:val="3A306308"/>
    <w:rsid w:val="3A414072"/>
    <w:rsid w:val="3A4A561C"/>
    <w:rsid w:val="3A4D2A17"/>
    <w:rsid w:val="3A557B1D"/>
    <w:rsid w:val="3A575643"/>
    <w:rsid w:val="3A6846CD"/>
    <w:rsid w:val="3A7371A1"/>
    <w:rsid w:val="3A80103E"/>
    <w:rsid w:val="3A810912"/>
    <w:rsid w:val="3A876819"/>
    <w:rsid w:val="3A920D71"/>
    <w:rsid w:val="3AA840F1"/>
    <w:rsid w:val="3ABC7B9C"/>
    <w:rsid w:val="3ACE2959"/>
    <w:rsid w:val="3ACF167E"/>
    <w:rsid w:val="3ACF78CF"/>
    <w:rsid w:val="3AE07F36"/>
    <w:rsid w:val="3AE50EA1"/>
    <w:rsid w:val="3AEA301E"/>
    <w:rsid w:val="3AEF7F72"/>
    <w:rsid w:val="3AFA1F98"/>
    <w:rsid w:val="3B077069"/>
    <w:rsid w:val="3B197527"/>
    <w:rsid w:val="3B1B2B15"/>
    <w:rsid w:val="3B1B30D7"/>
    <w:rsid w:val="3B2A6027"/>
    <w:rsid w:val="3B4262F3"/>
    <w:rsid w:val="3B4F27BE"/>
    <w:rsid w:val="3B5924E7"/>
    <w:rsid w:val="3B5F6EA5"/>
    <w:rsid w:val="3B6B0B8B"/>
    <w:rsid w:val="3B9171A8"/>
    <w:rsid w:val="3B96663F"/>
    <w:rsid w:val="3B9E333D"/>
    <w:rsid w:val="3BD36A10"/>
    <w:rsid w:val="3BD5612F"/>
    <w:rsid w:val="3BD86C58"/>
    <w:rsid w:val="3BEA4909"/>
    <w:rsid w:val="3BEE7356"/>
    <w:rsid w:val="3BF00A68"/>
    <w:rsid w:val="3C094DCA"/>
    <w:rsid w:val="3C1E157A"/>
    <w:rsid w:val="3C226FA6"/>
    <w:rsid w:val="3C3275F5"/>
    <w:rsid w:val="3C373913"/>
    <w:rsid w:val="3C3A346E"/>
    <w:rsid w:val="3C3C2D43"/>
    <w:rsid w:val="3C3E5CA8"/>
    <w:rsid w:val="3C4D430D"/>
    <w:rsid w:val="3C640A50"/>
    <w:rsid w:val="3C706E90"/>
    <w:rsid w:val="3C803352"/>
    <w:rsid w:val="3CA52FDE"/>
    <w:rsid w:val="3CAC68E3"/>
    <w:rsid w:val="3CB02FDD"/>
    <w:rsid w:val="3CB23005"/>
    <w:rsid w:val="3CBA010B"/>
    <w:rsid w:val="3CD72A6B"/>
    <w:rsid w:val="3CF324FE"/>
    <w:rsid w:val="3CF56EB0"/>
    <w:rsid w:val="3CF655E7"/>
    <w:rsid w:val="3CFF2C84"/>
    <w:rsid w:val="3D0052D3"/>
    <w:rsid w:val="3D053A7C"/>
    <w:rsid w:val="3D0F48FB"/>
    <w:rsid w:val="3D157126"/>
    <w:rsid w:val="3D21086E"/>
    <w:rsid w:val="3D2A703F"/>
    <w:rsid w:val="3D475E43"/>
    <w:rsid w:val="3D566086"/>
    <w:rsid w:val="3D5672BD"/>
    <w:rsid w:val="3D5E4C2A"/>
    <w:rsid w:val="3D614D46"/>
    <w:rsid w:val="3D693ABF"/>
    <w:rsid w:val="3D6F7E19"/>
    <w:rsid w:val="3D7B741A"/>
    <w:rsid w:val="3D8E5820"/>
    <w:rsid w:val="3D9077EA"/>
    <w:rsid w:val="3DA449F7"/>
    <w:rsid w:val="3DAE1A1E"/>
    <w:rsid w:val="3DB32F4B"/>
    <w:rsid w:val="3DB54043"/>
    <w:rsid w:val="3DBE142F"/>
    <w:rsid w:val="3DCE20C0"/>
    <w:rsid w:val="3DCE463F"/>
    <w:rsid w:val="3DD1395F"/>
    <w:rsid w:val="3DD53A7C"/>
    <w:rsid w:val="3DD6592F"/>
    <w:rsid w:val="3DD85423"/>
    <w:rsid w:val="3DEF6E07"/>
    <w:rsid w:val="3DF3569F"/>
    <w:rsid w:val="3E0147E9"/>
    <w:rsid w:val="3E083824"/>
    <w:rsid w:val="3E083B42"/>
    <w:rsid w:val="3E124F2C"/>
    <w:rsid w:val="3E1275D8"/>
    <w:rsid w:val="3E210442"/>
    <w:rsid w:val="3E4660FB"/>
    <w:rsid w:val="3E5C6190"/>
    <w:rsid w:val="3E7964D0"/>
    <w:rsid w:val="3E7E5894"/>
    <w:rsid w:val="3E815973"/>
    <w:rsid w:val="3E8250E7"/>
    <w:rsid w:val="3E86299B"/>
    <w:rsid w:val="3E890519"/>
    <w:rsid w:val="3E8C2484"/>
    <w:rsid w:val="3E8E35FE"/>
    <w:rsid w:val="3E907376"/>
    <w:rsid w:val="3E9E0D78"/>
    <w:rsid w:val="3EA51936"/>
    <w:rsid w:val="3ED705A2"/>
    <w:rsid w:val="3ED7438D"/>
    <w:rsid w:val="3EDD48AC"/>
    <w:rsid w:val="3EEA2F2A"/>
    <w:rsid w:val="3EF44F4D"/>
    <w:rsid w:val="3EF942A0"/>
    <w:rsid w:val="3F163D1F"/>
    <w:rsid w:val="3F1735F3"/>
    <w:rsid w:val="3F220294"/>
    <w:rsid w:val="3F2A1578"/>
    <w:rsid w:val="3F36616F"/>
    <w:rsid w:val="3F3D5750"/>
    <w:rsid w:val="3F3E1078"/>
    <w:rsid w:val="3F590BDC"/>
    <w:rsid w:val="3F617A68"/>
    <w:rsid w:val="3F6229AE"/>
    <w:rsid w:val="3F67457A"/>
    <w:rsid w:val="3F7E3672"/>
    <w:rsid w:val="3F8A252B"/>
    <w:rsid w:val="3F9472A1"/>
    <w:rsid w:val="3F9B2476"/>
    <w:rsid w:val="3FA44371"/>
    <w:rsid w:val="3FB53538"/>
    <w:rsid w:val="3FC419CD"/>
    <w:rsid w:val="3FC714BD"/>
    <w:rsid w:val="3FFC1590"/>
    <w:rsid w:val="40204729"/>
    <w:rsid w:val="40253FDC"/>
    <w:rsid w:val="40277574"/>
    <w:rsid w:val="402C2055"/>
    <w:rsid w:val="402E6E46"/>
    <w:rsid w:val="403018D5"/>
    <w:rsid w:val="40395022"/>
    <w:rsid w:val="403C2513"/>
    <w:rsid w:val="404E1296"/>
    <w:rsid w:val="405912D9"/>
    <w:rsid w:val="406073D4"/>
    <w:rsid w:val="40750F19"/>
    <w:rsid w:val="407B68C7"/>
    <w:rsid w:val="4081341A"/>
    <w:rsid w:val="40867967"/>
    <w:rsid w:val="408D4932"/>
    <w:rsid w:val="409D025C"/>
    <w:rsid w:val="409E3E75"/>
    <w:rsid w:val="40A13ABC"/>
    <w:rsid w:val="40A31529"/>
    <w:rsid w:val="40B82BB4"/>
    <w:rsid w:val="40C1415E"/>
    <w:rsid w:val="40C17CBA"/>
    <w:rsid w:val="40C31C84"/>
    <w:rsid w:val="40CA3013"/>
    <w:rsid w:val="40D32858"/>
    <w:rsid w:val="40FD201B"/>
    <w:rsid w:val="40FF07E3"/>
    <w:rsid w:val="41061B71"/>
    <w:rsid w:val="410A24B9"/>
    <w:rsid w:val="410F4ECA"/>
    <w:rsid w:val="41175793"/>
    <w:rsid w:val="41250FC5"/>
    <w:rsid w:val="412D35A2"/>
    <w:rsid w:val="413606A8"/>
    <w:rsid w:val="413E1150"/>
    <w:rsid w:val="41474664"/>
    <w:rsid w:val="414A0EEF"/>
    <w:rsid w:val="41540B2E"/>
    <w:rsid w:val="41542D64"/>
    <w:rsid w:val="415828FF"/>
    <w:rsid w:val="41597651"/>
    <w:rsid w:val="416707CB"/>
    <w:rsid w:val="416A2100"/>
    <w:rsid w:val="416E7E42"/>
    <w:rsid w:val="41764F49"/>
    <w:rsid w:val="417E5DD1"/>
    <w:rsid w:val="418036D2"/>
    <w:rsid w:val="41872CB2"/>
    <w:rsid w:val="41894C7C"/>
    <w:rsid w:val="418D4040"/>
    <w:rsid w:val="41994793"/>
    <w:rsid w:val="419B3797"/>
    <w:rsid w:val="41A44AB5"/>
    <w:rsid w:val="41A549A6"/>
    <w:rsid w:val="41AC096A"/>
    <w:rsid w:val="41CB4879"/>
    <w:rsid w:val="41D11C17"/>
    <w:rsid w:val="41DB1250"/>
    <w:rsid w:val="41DB2FFE"/>
    <w:rsid w:val="41DD4D60"/>
    <w:rsid w:val="41ED7508"/>
    <w:rsid w:val="41F32815"/>
    <w:rsid w:val="41F540C0"/>
    <w:rsid w:val="41FE5400"/>
    <w:rsid w:val="421A1D78"/>
    <w:rsid w:val="421C6CEB"/>
    <w:rsid w:val="42254279"/>
    <w:rsid w:val="422E5823"/>
    <w:rsid w:val="423821FE"/>
    <w:rsid w:val="423B3A9C"/>
    <w:rsid w:val="424010B3"/>
    <w:rsid w:val="425B506B"/>
    <w:rsid w:val="425D1C65"/>
    <w:rsid w:val="42604F26"/>
    <w:rsid w:val="42660B19"/>
    <w:rsid w:val="4269060A"/>
    <w:rsid w:val="426D634C"/>
    <w:rsid w:val="426E79CE"/>
    <w:rsid w:val="42764AD5"/>
    <w:rsid w:val="427C6652"/>
    <w:rsid w:val="428C42F8"/>
    <w:rsid w:val="428E1E1E"/>
    <w:rsid w:val="428F6F5E"/>
    <w:rsid w:val="42907FB1"/>
    <w:rsid w:val="429F7409"/>
    <w:rsid w:val="42B95313"/>
    <w:rsid w:val="42D40179"/>
    <w:rsid w:val="42D53EF1"/>
    <w:rsid w:val="42DD6902"/>
    <w:rsid w:val="42E308F8"/>
    <w:rsid w:val="42EC095C"/>
    <w:rsid w:val="42ED2FE9"/>
    <w:rsid w:val="430370EE"/>
    <w:rsid w:val="430C3285"/>
    <w:rsid w:val="431855A6"/>
    <w:rsid w:val="432602A9"/>
    <w:rsid w:val="432B3B11"/>
    <w:rsid w:val="43336BD6"/>
    <w:rsid w:val="433409E5"/>
    <w:rsid w:val="43397FEC"/>
    <w:rsid w:val="433D7C28"/>
    <w:rsid w:val="43505326"/>
    <w:rsid w:val="43574906"/>
    <w:rsid w:val="43631F42"/>
    <w:rsid w:val="43636651"/>
    <w:rsid w:val="436C03B1"/>
    <w:rsid w:val="436D4129"/>
    <w:rsid w:val="43880F63"/>
    <w:rsid w:val="43977F39"/>
    <w:rsid w:val="439E42E3"/>
    <w:rsid w:val="43A35D9D"/>
    <w:rsid w:val="43A7763B"/>
    <w:rsid w:val="43AD2778"/>
    <w:rsid w:val="43AE5541"/>
    <w:rsid w:val="43B40B8D"/>
    <w:rsid w:val="43B43B06"/>
    <w:rsid w:val="43C114AA"/>
    <w:rsid w:val="43C4653E"/>
    <w:rsid w:val="43D408FB"/>
    <w:rsid w:val="43D85A47"/>
    <w:rsid w:val="43E52DF0"/>
    <w:rsid w:val="43EE7018"/>
    <w:rsid w:val="43F162E3"/>
    <w:rsid w:val="43F81C45"/>
    <w:rsid w:val="43FC3F5B"/>
    <w:rsid w:val="4421412B"/>
    <w:rsid w:val="44250560"/>
    <w:rsid w:val="442742D8"/>
    <w:rsid w:val="442B201A"/>
    <w:rsid w:val="442B2FE3"/>
    <w:rsid w:val="44316F05"/>
    <w:rsid w:val="44444E8A"/>
    <w:rsid w:val="44466E54"/>
    <w:rsid w:val="444E3F5B"/>
    <w:rsid w:val="445D419E"/>
    <w:rsid w:val="446D371D"/>
    <w:rsid w:val="447A08AC"/>
    <w:rsid w:val="447B63D2"/>
    <w:rsid w:val="447F4114"/>
    <w:rsid w:val="4497746C"/>
    <w:rsid w:val="44A122DD"/>
    <w:rsid w:val="44A21781"/>
    <w:rsid w:val="44AA1C8D"/>
    <w:rsid w:val="44B215C9"/>
    <w:rsid w:val="44B4188D"/>
    <w:rsid w:val="44B5278C"/>
    <w:rsid w:val="44B55D88"/>
    <w:rsid w:val="44B87626"/>
    <w:rsid w:val="44BF6C07"/>
    <w:rsid w:val="44D53D34"/>
    <w:rsid w:val="44E328F5"/>
    <w:rsid w:val="44EA5877"/>
    <w:rsid w:val="44EF1A4D"/>
    <w:rsid w:val="44F62D94"/>
    <w:rsid w:val="44FA7C3F"/>
    <w:rsid w:val="44FD45E3"/>
    <w:rsid w:val="45060392"/>
    <w:rsid w:val="450624CE"/>
    <w:rsid w:val="452151CC"/>
    <w:rsid w:val="45390767"/>
    <w:rsid w:val="45521829"/>
    <w:rsid w:val="45525385"/>
    <w:rsid w:val="4554734F"/>
    <w:rsid w:val="456926CF"/>
    <w:rsid w:val="456B2978"/>
    <w:rsid w:val="457B7A6B"/>
    <w:rsid w:val="45825893"/>
    <w:rsid w:val="4588524B"/>
    <w:rsid w:val="458A4B1F"/>
    <w:rsid w:val="458D1ACC"/>
    <w:rsid w:val="458E44FE"/>
    <w:rsid w:val="459A6BD2"/>
    <w:rsid w:val="45B24076"/>
    <w:rsid w:val="45C71428"/>
    <w:rsid w:val="45CE0F8F"/>
    <w:rsid w:val="45D73ADC"/>
    <w:rsid w:val="45DB35CC"/>
    <w:rsid w:val="45EA380F"/>
    <w:rsid w:val="45F06D29"/>
    <w:rsid w:val="45F65B10"/>
    <w:rsid w:val="45F80D1D"/>
    <w:rsid w:val="46062902"/>
    <w:rsid w:val="460C62F5"/>
    <w:rsid w:val="460C6EDF"/>
    <w:rsid w:val="462431C5"/>
    <w:rsid w:val="462907DC"/>
    <w:rsid w:val="462C02CC"/>
    <w:rsid w:val="462F56C6"/>
    <w:rsid w:val="463D7533"/>
    <w:rsid w:val="46422A3B"/>
    <w:rsid w:val="4642364B"/>
    <w:rsid w:val="46470C62"/>
    <w:rsid w:val="464A0752"/>
    <w:rsid w:val="4674757D"/>
    <w:rsid w:val="46780E1B"/>
    <w:rsid w:val="46782B52"/>
    <w:rsid w:val="46825639"/>
    <w:rsid w:val="4682613E"/>
    <w:rsid w:val="4688372D"/>
    <w:rsid w:val="468F05E0"/>
    <w:rsid w:val="469646C1"/>
    <w:rsid w:val="46971F46"/>
    <w:rsid w:val="46A936CA"/>
    <w:rsid w:val="46A93F75"/>
    <w:rsid w:val="46AA2F9F"/>
    <w:rsid w:val="46AE6F33"/>
    <w:rsid w:val="46BD0F24"/>
    <w:rsid w:val="46C67DD9"/>
    <w:rsid w:val="46C77B24"/>
    <w:rsid w:val="46CD08F7"/>
    <w:rsid w:val="46DF0054"/>
    <w:rsid w:val="46E01323"/>
    <w:rsid w:val="46EF2C9C"/>
    <w:rsid w:val="46F4608E"/>
    <w:rsid w:val="46FC1A4C"/>
    <w:rsid w:val="470D43E4"/>
    <w:rsid w:val="4712301E"/>
    <w:rsid w:val="471A2BD4"/>
    <w:rsid w:val="471A45C8"/>
    <w:rsid w:val="47275D14"/>
    <w:rsid w:val="47282841"/>
    <w:rsid w:val="47305B9A"/>
    <w:rsid w:val="473C39E1"/>
    <w:rsid w:val="47480B36"/>
    <w:rsid w:val="474E7DCE"/>
    <w:rsid w:val="47573E46"/>
    <w:rsid w:val="475B15AB"/>
    <w:rsid w:val="475E2707"/>
    <w:rsid w:val="47721D0E"/>
    <w:rsid w:val="47971775"/>
    <w:rsid w:val="479A04D2"/>
    <w:rsid w:val="479B74B7"/>
    <w:rsid w:val="47C22C96"/>
    <w:rsid w:val="47C85DD2"/>
    <w:rsid w:val="47CC5748"/>
    <w:rsid w:val="47D6719D"/>
    <w:rsid w:val="47D70632"/>
    <w:rsid w:val="47D84006"/>
    <w:rsid w:val="47D9517B"/>
    <w:rsid w:val="47DE1F4C"/>
    <w:rsid w:val="47EF7803"/>
    <w:rsid w:val="47F82926"/>
    <w:rsid w:val="47FA6FF9"/>
    <w:rsid w:val="47FB61A8"/>
    <w:rsid w:val="481132D5"/>
    <w:rsid w:val="48117779"/>
    <w:rsid w:val="48141018"/>
    <w:rsid w:val="481E680F"/>
    <w:rsid w:val="482400D6"/>
    <w:rsid w:val="48254FD3"/>
    <w:rsid w:val="48272AF9"/>
    <w:rsid w:val="482B15B1"/>
    <w:rsid w:val="4832149E"/>
    <w:rsid w:val="48382F58"/>
    <w:rsid w:val="4839282C"/>
    <w:rsid w:val="483D40CA"/>
    <w:rsid w:val="4840285C"/>
    <w:rsid w:val="48475245"/>
    <w:rsid w:val="484E3668"/>
    <w:rsid w:val="48517B76"/>
    <w:rsid w:val="4856705C"/>
    <w:rsid w:val="48627FD5"/>
    <w:rsid w:val="486378A9"/>
    <w:rsid w:val="486F2C75"/>
    <w:rsid w:val="487E46E3"/>
    <w:rsid w:val="488548FE"/>
    <w:rsid w:val="488653C9"/>
    <w:rsid w:val="48896B80"/>
    <w:rsid w:val="4892322C"/>
    <w:rsid w:val="48A57EC2"/>
    <w:rsid w:val="48D11064"/>
    <w:rsid w:val="48D569F9"/>
    <w:rsid w:val="48D9333D"/>
    <w:rsid w:val="48D9576C"/>
    <w:rsid w:val="48DA6162"/>
    <w:rsid w:val="48DF3161"/>
    <w:rsid w:val="48E924A4"/>
    <w:rsid w:val="48EB621C"/>
    <w:rsid w:val="48EF00CB"/>
    <w:rsid w:val="48F055E1"/>
    <w:rsid w:val="48F13107"/>
    <w:rsid w:val="48F62356"/>
    <w:rsid w:val="48FA668B"/>
    <w:rsid w:val="49033BD0"/>
    <w:rsid w:val="491312CF"/>
    <w:rsid w:val="491C4628"/>
    <w:rsid w:val="491D5CAA"/>
    <w:rsid w:val="4921203F"/>
    <w:rsid w:val="49276B29"/>
    <w:rsid w:val="492A3EEA"/>
    <w:rsid w:val="492F56F0"/>
    <w:rsid w:val="49470F79"/>
    <w:rsid w:val="494D4F4F"/>
    <w:rsid w:val="495042D1"/>
    <w:rsid w:val="495E69EE"/>
    <w:rsid w:val="496E4757"/>
    <w:rsid w:val="4970227E"/>
    <w:rsid w:val="499A554C"/>
    <w:rsid w:val="49A06ABD"/>
    <w:rsid w:val="49A62E0B"/>
    <w:rsid w:val="49AE3BC7"/>
    <w:rsid w:val="49C25C13"/>
    <w:rsid w:val="49C425C9"/>
    <w:rsid w:val="49C458CB"/>
    <w:rsid w:val="49C64593"/>
    <w:rsid w:val="49DF11B1"/>
    <w:rsid w:val="49E213D9"/>
    <w:rsid w:val="49E862B8"/>
    <w:rsid w:val="49EE562C"/>
    <w:rsid w:val="49F00709"/>
    <w:rsid w:val="49F92946"/>
    <w:rsid w:val="49FE5ADB"/>
    <w:rsid w:val="4A0600C1"/>
    <w:rsid w:val="4A143781"/>
    <w:rsid w:val="4A174DEF"/>
    <w:rsid w:val="4A192915"/>
    <w:rsid w:val="4A1C51FA"/>
    <w:rsid w:val="4A2D63C1"/>
    <w:rsid w:val="4A49020D"/>
    <w:rsid w:val="4A4F6337"/>
    <w:rsid w:val="4A573306"/>
    <w:rsid w:val="4A7E6C1C"/>
    <w:rsid w:val="4A875AD1"/>
    <w:rsid w:val="4AAA17BF"/>
    <w:rsid w:val="4AAA5C63"/>
    <w:rsid w:val="4ABB577A"/>
    <w:rsid w:val="4ABF40F0"/>
    <w:rsid w:val="4ACC5BD9"/>
    <w:rsid w:val="4AD04C5E"/>
    <w:rsid w:val="4AD625B4"/>
    <w:rsid w:val="4AE33BE2"/>
    <w:rsid w:val="4AF173EE"/>
    <w:rsid w:val="4AF64982"/>
    <w:rsid w:val="4AF64A04"/>
    <w:rsid w:val="4B0610EB"/>
    <w:rsid w:val="4B08232D"/>
    <w:rsid w:val="4B0B52E0"/>
    <w:rsid w:val="4B0C4228"/>
    <w:rsid w:val="4B117A90"/>
    <w:rsid w:val="4B1B6E2F"/>
    <w:rsid w:val="4B2450FA"/>
    <w:rsid w:val="4B26133A"/>
    <w:rsid w:val="4B2A35D0"/>
    <w:rsid w:val="4B2C48CA"/>
    <w:rsid w:val="4B2E0642"/>
    <w:rsid w:val="4B3428D1"/>
    <w:rsid w:val="4B352A07"/>
    <w:rsid w:val="4B3F0EF6"/>
    <w:rsid w:val="4B46773A"/>
    <w:rsid w:val="4B490FD8"/>
    <w:rsid w:val="4B655726"/>
    <w:rsid w:val="4B69167A"/>
    <w:rsid w:val="4B6978CC"/>
    <w:rsid w:val="4B6A71C8"/>
    <w:rsid w:val="4B6C0F78"/>
    <w:rsid w:val="4B6D2F19"/>
    <w:rsid w:val="4B6E16B8"/>
    <w:rsid w:val="4B751DCD"/>
    <w:rsid w:val="4B844ED4"/>
    <w:rsid w:val="4B8509C1"/>
    <w:rsid w:val="4B8D5369"/>
    <w:rsid w:val="4B937BFB"/>
    <w:rsid w:val="4B957CFE"/>
    <w:rsid w:val="4BB52B12"/>
    <w:rsid w:val="4BC4638C"/>
    <w:rsid w:val="4BC575D2"/>
    <w:rsid w:val="4BDE5BF7"/>
    <w:rsid w:val="4BEC1C14"/>
    <w:rsid w:val="4BF67541"/>
    <w:rsid w:val="4C0118B3"/>
    <w:rsid w:val="4C0B44E0"/>
    <w:rsid w:val="4C121D12"/>
    <w:rsid w:val="4C2061DD"/>
    <w:rsid w:val="4C2630C7"/>
    <w:rsid w:val="4C40062D"/>
    <w:rsid w:val="4C4024EC"/>
    <w:rsid w:val="4C475E14"/>
    <w:rsid w:val="4C4B0D80"/>
    <w:rsid w:val="4C60482B"/>
    <w:rsid w:val="4C6205A3"/>
    <w:rsid w:val="4C650094"/>
    <w:rsid w:val="4C7E2F03"/>
    <w:rsid w:val="4CAA1F4A"/>
    <w:rsid w:val="4CAC181F"/>
    <w:rsid w:val="4CB15087"/>
    <w:rsid w:val="4CBA03DF"/>
    <w:rsid w:val="4CC045F8"/>
    <w:rsid w:val="4CCF19B1"/>
    <w:rsid w:val="4CDD7C2A"/>
    <w:rsid w:val="4CDF1BF4"/>
    <w:rsid w:val="4CE02416"/>
    <w:rsid w:val="4CF03BAB"/>
    <w:rsid w:val="4D0C7EAB"/>
    <w:rsid w:val="4D225F85"/>
    <w:rsid w:val="4D241CC7"/>
    <w:rsid w:val="4D3004B2"/>
    <w:rsid w:val="4D302450"/>
    <w:rsid w:val="4D330192"/>
    <w:rsid w:val="4D445EFB"/>
    <w:rsid w:val="4D4D0662"/>
    <w:rsid w:val="4D4E5FE1"/>
    <w:rsid w:val="4D51235B"/>
    <w:rsid w:val="4D53613E"/>
    <w:rsid w:val="4D5A74CD"/>
    <w:rsid w:val="4D64659D"/>
    <w:rsid w:val="4D66647C"/>
    <w:rsid w:val="4D7762D0"/>
    <w:rsid w:val="4D7A191D"/>
    <w:rsid w:val="4D834C75"/>
    <w:rsid w:val="4D842BF0"/>
    <w:rsid w:val="4D8B1D7C"/>
    <w:rsid w:val="4D926C66"/>
    <w:rsid w:val="4DB4302B"/>
    <w:rsid w:val="4DBA61BD"/>
    <w:rsid w:val="4DBF1320"/>
    <w:rsid w:val="4DBF37D4"/>
    <w:rsid w:val="4DC62FE4"/>
    <w:rsid w:val="4DC72BDB"/>
    <w:rsid w:val="4DCC40AD"/>
    <w:rsid w:val="4DCD7C9F"/>
    <w:rsid w:val="4DDF79D2"/>
    <w:rsid w:val="4DE163BF"/>
    <w:rsid w:val="4DEB61A9"/>
    <w:rsid w:val="4DF0471B"/>
    <w:rsid w:val="4DF86401"/>
    <w:rsid w:val="4E157897"/>
    <w:rsid w:val="4E2C76D2"/>
    <w:rsid w:val="4E334D0A"/>
    <w:rsid w:val="4E3B5550"/>
    <w:rsid w:val="4E4168DE"/>
    <w:rsid w:val="4E4A5793"/>
    <w:rsid w:val="4E52777D"/>
    <w:rsid w:val="4E577E36"/>
    <w:rsid w:val="4E5959D6"/>
    <w:rsid w:val="4E5C1022"/>
    <w:rsid w:val="4E5C54C6"/>
    <w:rsid w:val="4E67788B"/>
    <w:rsid w:val="4E772300"/>
    <w:rsid w:val="4E7A7EA0"/>
    <w:rsid w:val="4E872543"/>
    <w:rsid w:val="4EA70402"/>
    <w:rsid w:val="4EB175C0"/>
    <w:rsid w:val="4EBB2DC8"/>
    <w:rsid w:val="4EBD22C7"/>
    <w:rsid w:val="4EC45545"/>
    <w:rsid w:val="4EC7558A"/>
    <w:rsid w:val="4ECC4FBF"/>
    <w:rsid w:val="4ED21B04"/>
    <w:rsid w:val="4ED52C24"/>
    <w:rsid w:val="4EDB288F"/>
    <w:rsid w:val="4EEA2AD2"/>
    <w:rsid w:val="4EF37BD9"/>
    <w:rsid w:val="4EF43E39"/>
    <w:rsid w:val="4EFF3A40"/>
    <w:rsid w:val="4F02606E"/>
    <w:rsid w:val="4F18319B"/>
    <w:rsid w:val="4F2E28D7"/>
    <w:rsid w:val="4F355550"/>
    <w:rsid w:val="4F4421E2"/>
    <w:rsid w:val="4F4F7809"/>
    <w:rsid w:val="4F503880"/>
    <w:rsid w:val="4F5166AD"/>
    <w:rsid w:val="4F75537B"/>
    <w:rsid w:val="4F824AB9"/>
    <w:rsid w:val="4F9842DC"/>
    <w:rsid w:val="4F9D2D14"/>
    <w:rsid w:val="4F9D5D96"/>
    <w:rsid w:val="4F9F566B"/>
    <w:rsid w:val="4FA14C02"/>
    <w:rsid w:val="4FA558D3"/>
    <w:rsid w:val="4FAC2F12"/>
    <w:rsid w:val="4FB30DD1"/>
    <w:rsid w:val="4FBF4F3D"/>
    <w:rsid w:val="4FC0714C"/>
    <w:rsid w:val="4FD5108C"/>
    <w:rsid w:val="4FDC066D"/>
    <w:rsid w:val="4FDD25E2"/>
    <w:rsid w:val="4FE13ED5"/>
    <w:rsid w:val="4FE826A8"/>
    <w:rsid w:val="4FF5227F"/>
    <w:rsid w:val="4FF736F9"/>
    <w:rsid w:val="4FFA7976"/>
    <w:rsid w:val="50020D69"/>
    <w:rsid w:val="5006393C"/>
    <w:rsid w:val="50072371"/>
    <w:rsid w:val="5010292C"/>
    <w:rsid w:val="503F1C51"/>
    <w:rsid w:val="50494DC1"/>
    <w:rsid w:val="504B57F2"/>
    <w:rsid w:val="504F52E3"/>
    <w:rsid w:val="505F0E17"/>
    <w:rsid w:val="505F4DFA"/>
    <w:rsid w:val="50622F2F"/>
    <w:rsid w:val="508A1E77"/>
    <w:rsid w:val="508B5BEF"/>
    <w:rsid w:val="50AA312A"/>
    <w:rsid w:val="50B13DF1"/>
    <w:rsid w:val="50B415EA"/>
    <w:rsid w:val="50C7131D"/>
    <w:rsid w:val="50CB3047"/>
    <w:rsid w:val="50CC4BA5"/>
    <w:rsid w:val="50CE04AA"/>
    <w:rsid w:val="50DC24A9"/>
    <w:rsid w:val="50E13A61"/>
    <w:rsid w:val="50E83041"/>
    <w:rsid w:val="50EC0D83"/>
    <w:rsid w:val="50FD0FA4"/>
    <w:rsid w:val="51071719"/>
    <w:rsid w:val="510C31D4"/>
    <w:rsid w:val="51112740"/>
    <w:rsid w:val="51185637"/>
    <w:rsid w:val="511B1B1E"/>
    <w:rsid w:val="511E304C"/>
    <w:rsid w:val="5124051D"/>
    <w:rsid w:val="51384450"/>
    <w:rsid w:val="513B7615"/>
    <w:rsid w:val="513E0EB3"/>
    <w:rsid w:val="514718D1"/>
    <w:rsid w:val="515431E7"/>
    <w:rsid w:val="51550E92"/>
    <w:rsid w:val="51583D23"/>
    <w:rsid w:val="516E3818"/>
    <w:rsid w:val="51733275"/>
    <w:rsid w:val="517D19DC"/>
    <w:rsid w:val="518D5834"/>
    <w:rsid w:val="51937451"/>
    <w:rsid w:val="519861F6"/>
    <w:rsid w:val="519E4050"/>
    <w:rsid w:val="519F1952"/>
    <w:rsid w:val="51A76A58"/>
    <w:rsid w:val="51AA0F5B"/>
    <w:rsid w:val="51B06973"/>
    <w:rsid w:val="51B42910"/>
    <w:rsid w:val="51B66C9C"/>
    <w:rsid w:val="51BD44CE"/>
    <w:rsid w:val="51C33452"/>
    <w:rsid w:val="51CE51CD"/>
    <w:rsid w:val="51E24A36"/>
    <w:rsid w:val="51E47CAD"/>
    <w:rsid w:val="51E8698E"/>
    <w:rsid w:val="51F53948"/>
    <w:rsid w:val="521B7081"/>
    <w:rsid w:val="52304CA0"/>
    <w:rsid w:val="523C1897"/>
    <w:rsid w:val="5246001F"/>
    <w:rsid w:val="524A082C"/>
    <w:rsid w:val="525A4731"/>
    <w:rsid w:val="525F7333"/>
    <w:rsid w:val="52783FF0"/>
    <w:rsid w:val="527B0E9B"/>
    <w:rsid w:val="528A5B6B"/>
    <w:rsid w:val="529671F9"/>
    <w:rsid w:val="52A86F2C"/>
    <w:rsid w:val="52AF187F"/>
    <w:rsid w:val="52CA0C50"/>
    <w:rsid w:val="52CE08C9"/>
    <w:rsid w:val="52D7511B"/>
    <w:rsid w:val="52D970E6"/>
    <w:rsid w:val="52E63ED1"/>
    <w:rsid w:val="52EB0BC7"/>
    <w:rsid w:val="52FB705C"/>
    <w:rsid w:val="5305612D"/>
    <w:rsid w:val="530A3926"/>
    <w:rsid w:val="530C3017"/>
    <w:rsid w:val="530E5418"/>
    <w:rsid w:val="531A67DD"/>
    <w:rsid w:val="5320558A"/>
    <w:rsid w:val="53235D57"/>
    <w:rsid w:val="532F6D06"/>
    <w:rsid w:val="533131A8"/>
    <w:rsid w:val="533448D5"/>
    <w:rsid w:val="53353435"/>
    <w:rsid w:val="533F07AB"/>
    <w:rsid w:val="53446D7D"/>
    <w:rsid w:val="534926A9"/>
    <w:rsid w:val="53533F47"/>
    <w:rsid w:val="536337BA"/>
    <w:rsid w:val="537752D5"/>
    <w:rsid w:val="53990623"/>
    <w:rsid w:val="53991412"/>
    <w:rsid w:val="53B60FA0"/>
    <w:rsid w:val="53C82E17"/>
    <w:rsid w:val="53CA4C80"/>
    <w:rsid w:val="53D22EE4"/>
    <w:rsid w:val="53D63625"/>
    <w:rsid w:val="53D8742D"/>
    <w:rsid w:val="53DD49B3"/>
    <w:rsid w:val="53E121DA"/>
    <w:rsid w:val="53EE4E13"/>
    <w:rsid w:val="53F046E7"/>
    <w:rsid w:val="53F1045F"/>
    <w:rsid w:val="53F229C4"/>
    <w:rsid w:val="53F60E7F"/>
    <w:rsid w:val="541774AA"/>
    <w:rsid w:val="541D74A6"/>
    <w:rsid w:val="5426107A"/>
    <w:rsid w:val="542E1D7B"/>
    <w:rsid w:val="54431FC9"/>
    <w:rsid w:val="54554E92"/>
    <w:rsid w:val="545C4215"/>
    <w:rsid w:val="546649A9"/>
    <w:rsid w:val="54680721"/>
    <w:rsid w:val="54703B69"/>
    <w:rsid w:val="54770964"/>
    <w:rsid w:val="54774E08"/>
    <w:rsid w:val="54776BB6"/>
    <w:rsid w:val="54801D44"/>
    <w:rsid w:val="548B440F"/>
    <w:rsid w:val="549F7EBB"/>
    <w:rsid w:val="54A840C6"/>
    <w:rsid w:val="54AB6860"/>
    <w:rsid w:val="54AD3F92"/>
    <w:rsid w:val="54AE00FE"/>
    <w:rsid w:val="54C33BA9"/>
    <w:rsid w:val="54D52757"/>
    <w:rsid w:val="54E0268E"/>
    <w:rsid w:val="54E30FE8"/>
    <w:rsid w:val="54F3218D"/>
    <w:rsid w:val="54F449C8"/>
    <w:rsid w:val="55005A82"/>
    <w:rsid w:val="55026ACC"/>
    <w:rsid w:val="55067F3A"/>
    <w:rsid w:val="55135B4D"/>
    <w:rsid w:val="55202DAA"/>
    <w:rsid w:val="55264138"/>
    <w:rsid w:val="553D1BAE"/>
    <w:rsid w:val="55472A2C"/>
    <w:rsid w:val="555869E7"/>
    <w:rsid w:val="555E2B6B"/>
    <w:rsid w:val="55674E7D"/>
    <w:rsid w:val="556A70BB"/>
    <w:rsid w:val="557231AB"/>
    <w:rsid w:val="557430F6"/>
    <w:rsid w:val="55774994"/>
    <w:rsid w:val="558E043B"/>
    <w:rsid w:val="55917530"/>
    <w:rsid w:val="5592453F"/>
    <w:rsid w:val="559317CE"/>
    <w:rsid w:val="55AA6B17"/>
    <w:rsid w:val="55BA66A9"/>
    <w:rsid w:val="55D4785B"/>
    <w:rsid w:val="55DB3175"/>
    <w:rsid w:val="55E054C6"/>
    <w:rsid w:val="55E464CD"/>
    <w:rsid w:val="55E95892"/>
    <w:rsid w:val="55EB255A"/>
    <w:rsid w:val="55EC7130"/>
    <w:rsid w:val="55EE2E48"/>
    <w:rsid w:val="55FE2B20"/>
    <w:rsid w:val="561346BC"/>
    <w:rsid w:val="56165E03"/>
    <w:rsid w:val="561F7505"/>
    <w:rsid w:val="56230101"/>
    <w:rsid w:val="56440D1A"/>
    <w:rsid w:val="564B02FA"/>
    <w:rsid w:val="564B3E56"/>
    <w:rsid w:val="565151E5"/>
    <w:rsid w:val="56653092"/>
    <w:rsid w:val="566969D2"/>
    <w:rsid w:val="567141A5"/>
    <w:rsid w:val="567B1F2B"/>
    <w:rsid w:val="56851BF4"/>
    <w:rsid w:val="569A4DDE"/>
    <w:rsid w:val="56BC0176"/>
    <w:rsid w:val="56CF0F2B"/>
    <w:rsid w:val="56D55E16"/>
    <w:rsid w:val="56DC53F6"/>
    <w:rsid w:val="56ED13B1"/>
    <w:rsid w:val="570E7A86"/>
    <w:rsid w:val="57233025"/>
    <w:rsid w:val="572D17AE"/>
    <w:rsid w:val="5731420F"/>
    <w:rsid w:val="57315742"/>
    <w:rsid w:val="57364B06"/>
    <w:rsid w:val="57370E82"/>
    <w:rsid w:val="5738302A"/>
    <w:rsid w:val="574014E1"/>
    <w:rsid w:val="57415259"/>
    <w:rsid w:val="57462870"/>
    <w:rsid w:val="57476D14"/>
    <w:rsid w:val="574A7E12"/>
    <w:rsid w:val="574D1E50"/>
    <w:rsid w:val="57502C53"/>
    <w:rsid w:val="5771299E"/>
    <w:rsid w:val="577735EB"/>
    <w:rsid w:val="57784983"/>
    <w:rsid w:val="57844BED"/>
    <w:rsid w:val="57986ED5"/>
    <w:rsid w:val="57A42FC3"/>
    <w:rsid w:val="57AE6D93"/>
    <w:rsid w:val="57BB325E"/>
    <w:rsid w:val="57C1645B"/>
    <w:rsid w:val="57CD4D3F"/>
    <w:rsid w:val="57CE0F24"/>
    <w:rsid w:val="57D12A81"/>
    <w:rsid w:val="57E771FA"/>
    <w:rsid w:val="57E93958"/>
    <w:rsid w:val="57FF75EE"/>
    <w:rsid w:val="580A7D41"/>
    <w:rsid w:val="581001F8"/>
    <w:rsid w:val="5818698A"/>
    <w:rsid w:val="58226E39"/>
    <w:rsid w:val="582738AE"/>
    <w:rsid w:val="583C666D"/>
    <w:rsid w:val="58511871"/>
    <w:rsid w:val="585E21A1"/>
    <w:rsid w:val="58646D1E"/>
    <w:rsid w:val="5866766D"/>
    <w:rsid w:val="58670CF0"/>
    <w:rsid w:val="58727AE7"/>
    <w:rsid w:val="587A46A4"/>
    <w:rsid w:val="588875E4"/>
    <w:rsid w:val="588D2236"/>
    <w:rsid w:val="58985D02"/>
    <w:rsid w:val="589A4A31"/>
    <w:rsid w:val="58AB1524"/>
    <w:rsid w:val="58B0228F"/>
    <w:rsid w:val="58BC103B"/>
    <w:rsid w:val="58BE2FCB"/>
    <w:rsid w:val="58CA7BFC"/>
    <w:rsid w:val="58D00F8B"/>
    <w:rsid w:val="58D02D39"/>
    <w:rsid w:val="58F24A5D"/>
    <w:rsid w:val="590166E6"/>
    <w:rsid w:val="59073216"/>
    <w:rsid w:val="590925F5"/>
    <w:rsid w:val="590B47B0"/>
    <w:rsid w:val="59254E33"/>
    <w:rsid w:val="592E1886"/>
    <w:rsid w:val="593432C8"/>
    <w:rsid w:val="5939268C"/>
    <w:rsid w:val="593A5748"/>
    <w:rsid w:val="593D4A70"/>
    <w:rsid w:val="594159E5"/>
    <w:rsid w:val="59701765"/>
    <w:rsid w:val="598C4EB2"/>
    <w:rsid w:val="59935EBE"/>
    <w:rsid w:val="599442FA"/>
    <w:rsid w:val="599E4BE5"/>
    <w:rsid w:val="59A57D21"/>
    <w:rsid w:val="59A81938"/>
    <w:rsid w:val="59AB2777"/>
    <w:rsid w:val="59AE3ACC"/>
    <w:rsid w:val="59AF294E"/>
    <w:rsid w:val="59B57C7C"/>
    <w:rsid w:val="59B63CDD"/>
    <w:rsid w:val="59B937CD"/>
    <w:rsid w:val="59C47F04"/>
    <w:rsid w:val="59CC1752"/>
    <w:rsid w:val="59D423B5"/>
    <w:rsid w:val="59EE6D66"/>
    <w:rsid w:val="59F34DE1"/>
    <w:rsid w:val="59F64A21"/>
    <w:rsid w:val="59F760A3"/>
    <w:rsid w:val="59FA62BF"/>
    <w:rsid w:val="59FC77A0"/>
    <w:rsid w:val="59FD190B"/>
    <w:rsid w:val="5A160167"/>
    <w:rsid w:val="5A241579"/>
    <w:rsid w:val="5A377BE6"/>
    <w:rsid w:val="5A3B0686"/>
    <w:rsid w:val="5A450642"/>
    <w:rsid w:val="5A4869E9"/>
    <w:rsid w:val="5A5663B4"/>
    <w:rsid w:val="5A581238"/>
    <w:rsid w:val="5A5A5E83"/>
    <w:rsid w:val="5A5D05FC"/>
    <w:rsid w:val="5A5D684E"/>
    <w:rsid w:val="5A76346C"/>
    <w:rsid w:val="5A772680"/>
    <w:rsid w:val="5A971D60"/>
    <w:rsid w:val="5A9D4E9D"/>
    <w:rsid w:val="5AA4447D"/>
    <w:rsid w:val="5AB92690"/>
    <w:rsid w:val="5ACB37B8"/>
    <w:rsid w:val="5ACD39D4"/>
    <w:rsid w:val="5ACF4493"/>
    <w:rsid w:val="5AD80F59"/>
    <w:rsid w:val="5AE12FDB"/>
    <w:rsid w:val="5AE20B01"/>
    <w:rsid w:val="5AED1980"/>
    <w:rsid w:val="5AF40B3A"/>
    <w:rsid w:val="5AFE1DDF"/>
    <w:rsid w:val="5AFF3461"/>
    <w:rsid w:val="5B10566E"/>
    <w:rsid w:val="5B1A029B"/>
    <w:rsid w:val="5B214065"/>
    <w:rsid w:val="5B2C2259"/>
    <w:rsid w:val="5B386B83"/>
    <w:rsid w:val="5B3F6272"/>
    <w:rsid w:val="5B525C87"/>
    <w:rsid w:val="5B527A35"/>
    <w:rsid w:val="5B5A2D8E"/>
    <w:rsid w:val="5B5B0FE0"/>
    <w:rsid w:val="5B5D4C18"/>
    <w:rsid w:val="5B6D2D12"/>
    <w:rsid w:val="5B791466"/>
    <w:rsid w:val="5B7C0F56"/>
    <w:rsid w:val="5B8344F0"/>
    <w:rsid w:val="5B9B5880"/>
    <w:rsid w:val="5BA66C84"/>
    <w:rsid w:val="5BAB0BC1"/>
    <w:rsid w:val="5BB64468"/>
    <w:rsid w:val="5BC30933"/>
    <w:rsid w:val="5BCE1AD3"/>
    <w:rsid w:val="5BD31DF8"/>
    <w:rsid w:val="5BD95537"/>
    <w:rsid w:val="5BE508A9"/>
    <w:rsid w:val="5BE865EB"/>
    <w:rsid w:val="5BEA4111"/>
    <w:rsid w:val="5BF25F8E"/>
    <w:rsid w:val="5C001B87"/>
    <w:rsid w:val="5C012D4D"/>
    <w:rsid w:val="5C013209"/>
    <w:rsid w:val="5C075F07"/>
    <w:rsid w:val="5C0A68F9"/>
    <w:rsid w:val="5C0B0191"/>
    <w:rsid w:val="5C0E7762"/>
    <w:rsid w:val="5C1D0043"/>
    <w:rsid w:val="5C2B4B33"/>
    <w:rsid w:val="5C313AEE"/>
    <w:rsid w:val="5C3F26AF"/>
    <w:rsid w:val="5C401F83"/>
    <w:rsid w:val="5C5E240A"/>
    <w:rsid w:val="5C630774"/>
    <w:rsid w:val="5C71038F"/>
    <w:rsid w:val="5C7A3128"/>
    <w:rsid w:val="5C8207EE"/>
    <w:rsid w:val="5C844566"/>
    <w:rsid w:val="5C89392A"/>
    <w:rsid w:val="5C8B72C7"/>
    <w:rsid w:val="5C961BA3"/>
    <w:rsid w:val="5CB575BE"/>
    <w:rsid w:val="5CBF10FA"/>
    <w:rsid w:val="5CC22998"/>
    <w:rsid w:val="5CC91F79"/>
    <w:rsid w:val="5CD340A0"/>
    <w:rsid w:val="5CDB057C"/>
    <w:rsid w:val="5CE3404D"/>
    <w:rsid w:val="5CE62B2B"/>
    <w:rsid w:val="5CE62BE1"/>
    <w:rsid w:val="5CFD0D22"/>
    <w:rsid w:val="5D160B9C"/>
    <w:rsid w:val="5D197F3E"/>
    <w:rsid w:val="5D261179"/>
    <w:rsid w:val="5D2E002E"/>
    <w:rsid w:val="5D2E44D2"/>
    <w:rsid w:val="5D403BB3"/>
    <w:rsid w:val="5D431D2B"/>
    <w:rsid w:val="5D4613F6"/>
    <w:rsid w:val="5D5303FD"/>
    <w:rsid w:val="5D5757D7"/>
    <w:rsid w:val="5D586650"/>
    <w:rsid w:val="5D5B1CA2"/>
    <w:rsid w:val="5D62608F"/>
    <w:rsid w:val="5D7C0B86"/>
    <w:rsid w:val="5D83037A"/>
    <w:rsid w:val="5D89747D"/>
    <w:rsid w:val="5D9056DB"/>
    <w:rsid w:val="5D93502D"/>
    <w:rsid w:val="5DA14CA4"/>
    <w:rsid w:val="5DA71E96"/>
    <w:rsid w:val="5DBC388C"/>
    <w:rsid w:val="5DBE7604"/>
    <w:rsid w:val="5DCF13C6"/>
    <w:rsid w:val="5DDB6408"/>
    <w:rsid w:val="5DF222A0"/>
    <w:rsid w:val="5DF95E58"/>
    <w:rsid w:val="5DFA378D"/>
    <w:rsid w:val="5DFB4449"/>
    <w:rsid w:val="5DFE3A5D"/>
    <w:rsid w:val="5E0873B0"/>
    <w:rsid w:val="5E1216FE"/>
    <w:rsid w:val="5E140801"/>
    <w:rsid w:val="5E1C432A"/>
    <w:rsid w:val="5E212F99"/>
    <w:rsid w:val="5E225DE5"/>
    <w:rsid w:val="5E324328"/>
    <w:rsid w:val="5E341674"/>
    <w:rsid w:val="5E41599C"/>
    <w:rsid w:val="5E4D0988"/>
    <w:rsid w:val="5E510478"/>
    <w:rsid w:val="5E5F41C7"/>
    <w:rsid w:val="5E693A13"/>
    <w:rsid w:val="5E7728A4"/>
    <w:rsid w:val="5E856373"/>
    <w:rsid w:val="5E875C48"/>
    <w:rsid w:val="5EA20CD3"/>
    <w:rsid w:val="5EA26FBB"/>
    <w:rsid w:val="5EAB6C27"/>
    <w:rsid w:val="5EAE598D"/>
    <w:rsid w:val="5EB73D6E"/>
    <w:rsid w:val="5EC6498E"/>
    <w:rsid w:val="5EC7698C"/>
    <w:rsid w:val="5EC92704"/>
    <w:rsid w:val="5EC93AFA"/>
    <w:rsid w:val="5ED5018B"/>
    <w:rsid w:val="5EDF7832"/>
    <w:rsid w:val="5F13572D"/>
    <w:rsid w:val="5F1D232B"/>
    <w:rsid w:val="5F2045FF"/>
    <w:rsid w:val="5F2E63AF"/>
    <w:rsid w:val="5F322EF1"/>
    <w:rsid w:val="5F4D0EED"/>
    <w:rsid w:val="5F4E4658"/>
    <w:rsid w:val="5F505E0E"/>
    <w:rsid w:val="5F593A88"/>
    <w:rsid w:val="5F611DEC"/>
    <w:rsid w:val="5F667F53"/>
    <w:rsid w:val="5F742670"/>
    <w:rsid w:val="5F7509A5"/>
    <w:rsid w:val="5F7A39FE"/>
    <w:rsid w:val="5F7E4F71"/>
    <w:rsid w:val="5F7F1015"/>
    <w:rsid w:val="5F830B05"/>
    <w:rsid w:val="5FA6034F"/>
    <w:rsid w:val="5FB7306B"/>
    <w:rsid w:val="5FC979F7"/>
    <w:rsid w:val="5FCF78A6"/>
    <w:rsid w:val="5FD85686"/>
    <w:rsid w:val="5FE9338C"/>
    <w:rsid w:val="5FF9437A"/>
    <w:rsid w:val="5FFB4B3F"/>
    <w:rsid w:val="60013C9B"/>
    <w:rsid w:val="60166715"/>
    <w:rsid w:val="60196D73"/>
    <w:rsid w:val="601C5F42"/>
    <w:rsid w:val="601E082E"/>
    <w:rsid w:val="60200102"/>
    <w:rsid w:val="60205697"/>
    <w:rsid w:val="602171E3"/>
    <w:rsid w:val="60222736"/>
    <w:rsid w:val="60243AEA"/>
    <w:rsid w:val="602456E9"/>
    <w:rsid w:val="60261490"/>
    <w:rsid w:val="60285208"/>
    <w:rsid w:val="603E4A2C"/>
    <w:rsid w:val="604858AA"/>
    <w:rsid w:val="604C40C6"/>
    <w:rsid w:val="60567FC7"/>
    <w:rsid w:val="6064472D"/>
    <w:rsid w:val="60762418"/>
    <w:rsid w:val="609E54CA"/>
    <w:rsid w:val="60A1190A"/>
    <w:rsid w:val="60A24DD4"/>
    <w:rsid w:val="60A52CFD"/>
    <w:rsid w:val="60A54AAB"/>
    <w:rsid w:val="60C07B37"/>
    <w:rsid w:val="60C21BF5"/>
    <w:rsid w:val="60C31EE5"/>
    <w:rsid w:val="60CC2038"/>
    <w:rsid w:val="60DB671F"/>
    <w:rsid w:val="60FA4F03"/>
    <w:rsid w:val="60FB1701"/>
    <w:rsid w:val="60FD39DD"/>
    <w:rsid w:val="61060F80"/>
    <w:rsid w:val="610619ED"/>
    <w:rsid w:val="61161505"/>
    <w:rsid w:val="612B4FB0"/>
    <w:rsid w:val="612C4500"/>
    <w:rsid w:val="61392333"/>
    <w:rsid w:val="61445988"/>
    <w:rsid w:val="614C2579"/>
    <w:rsid w:val="614E3711"/>
    <w:rsid w:val="61543FF9"/>
    <w:rsid w:val="61564368"/>
    <w:rsid w:val="61581B1D"/>
    <w:rsid w:val="61682E79"/>
    <w:rsid w:val="61700757"/>
    <w:rsid w:val="61730705"/>
    <w:rsid w:val="6175447D"/>
    <w:rsid w:val="61793E28"/>
    <w:rsid w:val="618F5965"/>
    <w:rsid w:val="61970500"/>
    <w:rsid w:val="619C7C5C"/>
    <w:rsid w:val="619F24BE"/>
    <w:rsid w:val="61A570C7"/>
    <w:rsid w:val="61AA79E8"/>
    <w:rsid w:val="61B03707"/>
    <w:rsid w:val="61C827FF"/>
    <w:rsid w:val="61D05B58"/>
    <w:rsid w:val="62165C60"/>
    <w:rsid w:val="62265778"/>
    <w:rsid w:val="622814F0"/>
    <w:rsid w:val="622A1136"/>
    <w:rsid w:val="62312A9D"/>
    <w:rsid w:val="62377985"/>
    <w:rsid w:val="62384049"/>
    <w:rsid w:val="623C31ED"/>
    <w:rsid w:val="624A76B8"/>
    <w:rsid w:val="6252656D"/>
    <w:rsid w:val="6255576B"/>
    <w:rsid w:val="62560FBE"/>
    <w:rsid w:val="626C2DFB"/>
    <w:rsid w:val="62744735"/>
    <w:rsid w:val="628129F0"/>
    <w:rsid w:val="62877270"/>
    <w:rsid w:val="629B6525"/>
    <w:rsid w:val="62B31701"/>
    <w:rsid w:val="62B33EC0"/>
    <w:rsid w:val="62C27B96"/>
    <w:rsid w:val="62C51434"/>
    <w:rsid w:val="62FC72F4"/>
    <w:rsid w:val="630755A9"/>
    <w:rsid w:val="63184CF0"/>
    <w:rsid w:val="63220635"/>
    <w:rsid w:val="63260125"/>
    <w:rsid w:val="63312626"/>
    <w:rsid w:val="633B769E"/>
    <w:rsid w:val="634173D7"/>
    <w:rsid w:val="63520F1A"/>
    <w:rsid w:val="636429FB"/>
    <w:rsid w:val="63682372"/>
    <w:rsid w:val="63704604"/>
    <w:rsid w:val="637644DD"/>
    <w:rsid w:val="637D3BB9"/>
    <w:rsid w:val="639A466F"/>
    <w:rsid w:val="639A641D"/>
    <w:rsid w:val="639F2DB5"/>
    <w:rsid w:val="63A159FD"/>
    <w:rsid w:val="63AE011A"/>
    <w:rsid w:val="63B03E93"/>
    <w:rsid w:val="63B35731"/>
    <w:rsid w:val="63C139AA"/>
    <w:rsid w:val="63C60FC0"/>
    <w:rsid w:val="63C705B2"/>
    <w:rsid w:val="63E1404C"/>
    <w:rsid w:val="640B2E77"/>
    <w:rsid w:val="640F3F59"/>
    <w:rsid w:val="64191A38"/>
    <w:rsid w:val="641D4E1C"/>
    <w:rsid w:val="641E704E"/>
    <w:rsid w:val="64287DF5"/>
    <w:rsid w:val="6432620C"/>
    <w:rsid w:val="643501F7"/>
    <w:rsid w:val="643C74D4"/>
    <w:rsid w:val="643E4FFA"/>
    <w:rsid w:val="64412D3D"/>
    <w:rsid w:val="644216CF"/>
    <w:rsid w:val="64473CAE"/>
    <w:rsid w:val="64552344"/>
    <w:rsid w:val="64570C6A"/>
    <w:rsid w:val="64583302"/>
    <w:rsid w:val="645A795A"/>
    <w:rsid w:val="6460554F"/>
    <w:rsid w:val="646D3B32"/>
    <w:rsid w:val="6490262F"/>
    <w:rsid w:val="649139D3"/>
    <w:rsid w:val="649347F8"/>
    <w:rsid w:val="64963088"/>
    <w:rsid w:val="649847F5"/>
    <w:rsid w:val="64B928D3"/>
    <w:rsid w:val="64D7436F"/>
    <w:rsid w:val="64E75692"/>
    <w:rsid w:val="64EA33D4"/>
    <w:rsid w:val="64EC73DB"/>
    <w:rsid w:val="64F1206D"/>
    <w:rsid w:val="64FD1B99"/>
    <w:rsid w:val="64FD6C64"/>
    <w:rsid w:val="64FE478A"/>
    <w:rsid w:val="65181CEF"/>
    <w:rsid w:val="651A5A67"/>
    <w:rsid w:val="6525440C"/>
    <w:rsid w:val="65295CAB"/>
    <w:rsid w:val="652E3DD4"/>
    <w:rsid w:val="653D52B2"/>
    <w:rsid w:val="654C11BD"/>
    <w:rsid w:val="654D5F12"/>
    <w:rsid w:val="654E5711"/>
    <w:rsid w:val="65607B50"/>
    <w:rsid w:val="657E587A"/>
    <w:rsid w:val="65811974"/>
    <w:rsid w:val="658612D7"/>
    <w:rsid w:val="65891DC8"/>
    <w:rsid w:val="658C7FE7"/>
    <w:rsid w:val="65B03CD6"/>
    <w:rsid w:val="65BC2237"/>
    <w:rsid w:val="65BE3CC6"/>
    <w:rsid w:val="65CC4888"/>
    <w:rsid w:val="65D41A7C"/>
    <w:rsid w:val="65DC0F6F"/>
    <w:rsid w:val="65E6594A"/>
    <w:rsid w:val="65EE0EDC"/>
    <w:rsid w:val="65F22540"/>
    <w:rsid w:val="660B3A0E"/>
    <w:rsid w:val="66135D17"/>
    <w:rsid w:val="66291CDA"/>
    <w:rsid w:val="662A7F2C"/>
    <w:rsid w:val="66456B14"/>
    <w:rsid w:val="664A365E"/>
    <w:rsid w:val="664A3F9C"/>
    <w:rsid w:val="6659436D"/>
    <w:rsid w:val="665F6024"/>
    <w:rsid w:val="668138C4"/>
    <w:rsid w:val="668D2269"/>
    <w:rsid w:val="668F61F2"/>
    <w:rsid w:val="66A15D14"/>
    <w:rsid w:val="66AB1102"/>
    <w:rsid w:val="66AE5CE5"/>
    <w:rsid w:val="66B0041C"/>
    <w:rsid w:val="66B43C9A"/>
    <w:rsid w:val="66B50E3F"/>
    <w:rsid w:val="66C11F13"/>
    <w:rsid w:val="66C60DE4"/>
    <w:rsid w:val="66F83B86"/>
    <w:rsid w:val="67003F6B"/>
    <w:rsid w:val="670D7347"/>
    <w:rsid w:val="671B1623"/>
    <w:rsid w:val="672524A2"/>
    <w:rsid w:val="672A7AB8"/>
    <w:rsid w:val="672D1422"/>
    <w:rsid w:val="67304D9B"/>
    <w:rsid w:val="67397CFB"/>
    <w:rsid w:val="673B1CC5"/>
    <w:rsid w:val="676236F6"/>
    <w:rsid w:val="67702989"/>
    <w:rsid w:val="67B04660"/>
    <w:rsid w:val="67B57CC9"/>
    <w:rsid w:val="67BA52E0"/>
    <w:rsid w:val="67BF46A4"/>
    <w:rsid w:val="67C03A60"/>
    <w:rsid w:val="67CA1969"/>
    <w:rsid w:val="67CA3001"/>
    <w:rsid w:val="67CB5449"/>
    <w:rsid w:val="67CD5013"/>
    <w:rsid w:val="67EB36EB"/>
    <w:rsid w:val="67F25F98"/>
    <w:rsid w:val="67F73E3E"/>
    <w:rsid w:val="67F87BB6"/>
    <w:rsid w:val="67FB04A5"/>
    <w:rsid w:val="68152FFE"/>
    <w:rsid w:val="68194EB2"/>
    <w:rsid w:val="682664D1"/>
    <w:rsid w:val="682732A7"/>
    <w:rsid w:val="682774EC"/>
    <w:rsid w:val="682B7B12"/>
    <w:rsid w:val="682D3D04"/>
    <w:rsid w:val="68352263"/>
    <w:rsid w:val="684352D5"/>
    <w:rsid w:val="6844104D"/>
    <w:rsid w:val="68595D1F"/>
    <w:rsid w:val="68617509"/>
    <w:rsid w:val="6865349E"/>
    <w:rsid w:val="68907DEF"/>
    <w:rsid w:val="68AB2361"/>
    <w:rsid w:val="68B735CD"/>
    <w:rsid w:val="68BC6E36"/>
    <w:rsid w:val="68BF2482"/>
    <w:rsid w:val="68E30DD7"/>
    <w:rsid w:val="68F24CB6"/>
    <w:rsid w:val="68F4217F"/>
    <w:rsid w:val="69004F74"/>
    <w:rsid w:val="6904782B"/>
    <w:rsid w:val="690F0FFE"/>
    <w:rsid w:val="693D595D"/>
    <w:rsid w:val="69482477"/>
    <w:rsid w:val="694D0DA5"/>
    <w:rsid w:val="694D3FB3"/>
    <w:rsid w:val="69605A13"/>
    <w:rsid w:val="696745CD"/>
    <w:rsid w:val="696A1E79"/>
    <w:rsid w:val="696A5319"/>
    <w:rsid w:val="69750BB0"/>
    <w:rsid w:val="69790883"/>
    <w:rsid w:val="69894212"/>
    <w:rsid w:val="69A31AC2"/>
    <w:rsid w:val="69A71B15"/>
    <w:rsid w:val="69AA3132"/>
    <w:rsid w:val="69B41D9F"/>
    <w:rsid w:val="69B53FB1"/>
    <w:rsid w:val="69B875FD"/>
    <w:rsid w:val="69C97A5C"/>
    <w:rsid w:val="69CB5582"/>
    <w:rsid w:val="69CB7FE7"/>
    <w:rsid w:val="69CF380D"/>
    <w:rsid w:val="69D211D5"/>
    <w:rsid w:val="69D34437"/>
    <w:rsid w:val="69DA7573"/>
    <w:rsid w:val="69F742D8"/>
    <w:rsid w:val="69FD3262"/>
    <w:rsid w:val="6A0445F0"/>
    <w:rsid w:val="6A0A2C21"/>
    <w:rsid w:val="6A0E1308"/>
    <w:rsid w:val="6A0E36C1"/>
    <w:rsid w:val="6A0E547B"/>
    <w:rsid w:val="6A106AB3"/>
    <w:rsid w:val="6A220F1A"/>
    <w:rsid w:val="6A3C1FDC"/>
    <w:rsid w:val="6A4B221F"/>
    <w:rsid w:val="6A4E3F68"/>
    <w:rsid w:val="6A505A87"/>
    <w:rsid w:val="6A535578"/>
    <w:rsid w:val="6A5E63F6"/>
    <w:rsid w:val="6A621FA1"/>
    <w:rsid w:val="6A6B466F"/>
    <w:rsid w:val="6A7A48B2"/>
    <w:rsid w:val="6A9C1A8B"/>
    <w:rsid w:val="6A9D3B1B"/>
    <w:rsid w:val="6AAA163C"/>
    <w:rsid w:val="6AAB0F10"/>
    <w:rsid w:val="6AAB290E"/>
    <w:rsid w:val="6AAC05F2"/>
    <w:rsid w:val="6AC41FD2"/>
    <w:rsid w:val="6AC7760B"/>
    <w:rsid w:val="6ACB7804"/>
    <w:rsid w:val="6AD00976"/>
    <w:rsid w:val="6AE61F48"/>
    <w:rsid w:val="6AF64881"/>
    <w:rsid w:val="6AF73C38"/>
    <w:rsid w:val="6AFB6BAE"/>
    <w:rsid w:val="6B040620"/>
    <w:rsid w:val="6B19056F"/>
    <w:rsid w:val="6B217424"/>
    <w:rsid w:val="6B240C67"/>
    <w:rsid w:val="6B2B3DFF"/>
    <w:rsid w:val="6B3453A9"/>
    <w:rsid w:val="6B405AFC"/>
    <w:rsid w:val="6B4D0219"/>
    <w:rsid w:val="6B533A81"/>
    <w:rsid w:val="6B5C580D"/>
    <w:rsid w:val="6B5D5C8E"/>
    <w:rsid w:val="6B735ED1"/>
    <w:rsid w:val="6B740221"/>
    <w:rsid w:val="6B7B3D3A"/>
    <w:rsid w:val="6B7E6624"/>
    <w:rsid w:val="6B824366"/>
    <w:rsid w:val="6B841E8D"/>
    <w:rsid w:val="6BA02A3F"/>
    <w:rsid w:val="6BBE4C73"/>
    <w:rsid w:val="6BC23B9D"/>
    <w:rsid w:val="6BCC758B"/>
    <w:rsid w:val="6BCE7896"/>
    <w:rsid w:val="6BD6020E"/>
    <w:rsid w:val="6BE648F5"/>
    <w:rsid w:val="6BEB4719"/>
    <w:rsid w:val="6BF40694"/>
    <w:rsid w:val="6C050B53"/>
    <w:rsid w:val="6C0C59DE"/>
    <w:rsid w:val="6C2E3BA6"/>
    <w:rsid w:val="6C345932"/>
    <w:rsid w:val="6C3712DF"/>
    <w:rsid w:val="6C39522C"/>
    <w:rsid w:val="6C440AF1"/>
    <w:rsid w:val="6C4909E0"/>
    <w:rsid w:val="6C4E5FF7"/>
    <w:rsid w:val="6C506438"/>
    <w:rsid w:val="6C557788"/>
    <w:rsid w:val="6C5F6456"/>
    <w:rsid w:val="6C7358E7"/>
    <w:rsid w:val="6C7643B3"/>
    <w:rsid w:val="6C794D89"/>
    <w:rsid w:val="6C7C6087"/>
    <w:rsid w:val="6C830727"/>
    <w:rsid w:val="6C841A18"/>
    <w:rsid w:val="6C9B19F7"/>
    <w:rsid w:val="6C9C4FB4"/>
    <w:rsid w:val="6CA14EDA"/>
    <w:rsid w:val="6CAA7EE0"/>
    <w:rsid w:val="6CAD0F6F"/>
    <w:rsid w:val="6CBA65FD"/>
    <w:rsid w:val="6CCB7647"/>
    <w:rsid w:val="6CD01102"/>
    <w:rsid w:val="6CD31A28"/>
    <w:rsid w:val="6CD56718"/>
    <w:rsid w:val="6CDC1B00"/>
    <w:rsid w:val="6CDF1345"/>
    <w:rsid w:val="6CE1330F"/>
    <w:rsid w:val="6CE801F9"/>
    <w:rsid w:val="6CEC29E0"/>
    <w:rsid w:val="6CF7043C"/>
    <w:rsid w:val="6D033285"/>
    <w:rsid w:val="6D050DAB"/>
    <w:rsid w:val="6D15191A"/>
    <w:rsid w:val="6D2469B8"/>
    <w:rsid w:val="6D2C4F0C"/>
    <w:rsid w:val="6D305867"/>
    <w:rsid w:val="6D371876"/>
    <w:rsid w:val="6D45564C"/>
    <w:rsid w:val="6D462669"/>
    <w:rsid w:val="6D4C69DA"/>
    <w:rsid w:val="6D543B83"/>
    <w:rsid w:val="6D565A94"/>
    <w:rsid w:val="6D5F1D24"/>
    <w:rsid w:val="6D6C0E2A"/>
    <w:rsid w:val="6D6F68A8"/>
    <w:rsid w:val="6D770402"/>
    <w:rsid w:val="6D877A12"/>
    <w:rsid w:val="6D8A0A99"/>
    <w:rsid w:val="6D8A5754"/>
    <w:rsid w:val="6D934FE7"/>
    <w:rsid w:val="6DBC151C"/>
    <w:rsid w:val="6DBE0F5A"/>
    <w:rsid w:val="6DC049B0"/>
    <w:rsid w:val="6DC464CE"/>
    <w:rsid w:val="6DC96753"/>
    <w:rsid w:val="6DD0777C"/>
    <w:rsid w:val="6DE309C1"/>
    <w:rsid w:val="6DE44E65"/>
    <w:rsid w:val="6DE63A03"/>
    <w:rsid w:val="6DFB3F5C"/>
    <w:rsid w:val="6E0A5EF3"/>
    <w:rsid w:val="6E105C5A"/>
    <w:rsid w:val="6E182D60"/>
    <w:rsid w:val="6E1D4CAD"/>
    <w:rsid w:val="6E2365B9"/>
    <w:rsid w:val="6E414065"/>
    <w:rsid w:val="6E47777B"/>
    <w:rsid w:val="6E4950C3"/>
    <w:rsid w:val="6E4F18D4"/>
    <w:rsid w:val="6E680EDE"/>
    <w:rsid w:val="6E697118"/>
    <w:rsid w:val="6E6A52A8"/>
    <w:rsid w:val="6E8C3947"/>
    <w:rsid w:val="6E944E12"/>
    <w:rsid w:val="6E946CD9"/>
    <w:rsid w:val="6E9879FD"/>
    <w:rsid w:val="6E9B545F"/>
    <w:rsid w:val="6E9C74ED"/>
    <w:rsid w:val="6E9D5013"/>
    <w:rsid w:val="6EA12D56"/>
    <w:rsid w:val="6EA8077C"/>
    <w:rsid w:val="6ED053E9"/>
    <w:rsid w:val="6EDC3D8E"/>
    <w:rsid w:val="6EE844E0"/>
    <w:rsid w:val="6EED598F"/>
    <w:rsid w:val="6EF81A16"/>
    <w:rsid w:val="6EF94644"/>
    <w:rsid w:val="6F0230C8"/>
    <w:rsid w:val="6F060A80"/>
    <w:rsid w:val="6F082DD5"/>
    <w:rsid w:val="6F097635"/>
    <w:rsid w:val="6F215C44"/>
    <w:rsid w:val="6F2319BD"/>
    <w:rsid w:val="6F35349E"/>
    <w:rsid w:val="6F3747E3"/>
    <w:rsid w:val="6F3C2A7E"/>
    <w:rsid w:val="6F3C65DA"/>
    <w:rsid w:val="6F4044CB"/>
    <w:rsid w:val="6F556A86"/>
    <w:rsid w:val="6F5778B8"/>
    <w:rsid w:val="6F66482C"/>
    <w:rsid w:val="6F6E3364"/>
    <w:rsid w:val="6F700786"/>
    <w:rsid w:val="6F863CF9"/>
    <w:rsid w:val="6F96218E"/>
    <w:rsid w:val="6F99570C"/>
    <w:rsid w:val="6F9A0CD2"/>
    <w:rsid w:val="6FA25BE0"/>
    <w:rsid w:val="6FA80114"/>
    <w:rsid w:val="6FBF74EB"/>
    <w:rsid w:val="6FC22F83"/>
    <w:rsid w:val="6FC76EA4"/>
    <w:rsid w:val="6FDC2046"/>
    <w:rsid w:val="6FF13869"/>
    <w:rsid w:val="6FFD6D35"/>
    <w:rsid w:val="6FFE345A"/>
    <w:rsid w:val="700D7F77"/>
    <w:rsid w:val="70291BDA"/>
    <w:rsid w:val="703277A2"/>
    <w:rsid w:val="7036127C"/>
    <w:rsid w:val="70385063"/>
    <w:rsid w:val="70591F3B"/>
    <w:rsid w:val="705A19BC"/>
    <w:rsid w:val="706A78BF"/>
    <w:rsid w:val="70756248"/>
    <w:rsid w:val="70822713"/>
    <w:rsid w:val="7087270D"/>
    <w:rsid w:val="708C39AE"/>
    <w:rsid w:val="70901563"/>
    <w:rsid w:val="709830C6"/>
    <w:rsid w:val="70A22DB5"/>
    <w:rsid w:val="70A703CB"/>
    <w:rsid w:val="70B83E1C"/>
    <w:rsid w:val="70C71D41"/>
    <w:rsid w:val="70D54F38"/>
    <w:rsid w:val="70E433CD"/>
    <w:rsid w:val="70E4517B"/>
    <w:rsid w:val="70EF0D2A"/>
    <w:rsid w:val="70F01D72"/>
    <w:rsid w:val="70F514DC"/>
    <w:rsid w:val="70F57389"/>
    <w:rsid w:val="70FC4273"/>
    <w:rsid w:val="70FD7FEB"/>
    <w:rsid w:val="70FF0531"/>
    <w:rsid w:val="70FF3D63"/>
    <w:rsid w:val="71092E34"/>
    <w:rsid w:val="711128FF"/>
    <w:rsid w:val="711E068D"/>
    <w:rsid w:val="712B6906"/>
    <w:rsid w:val="713003C1"/>
    <w:rsid w:val="713D7BBE"/>
    <w:rsid w:val="714F4CEB"/>
    <w:rsid w:val="7150626C"/>
    <w:rsid w:val="7151759F"/>
    <w:rsid w:val="715B281B"/>
    <w:rsid w:val="715B5B6B"/>
    <w:rsid w:val="715E0E47"/>
    <w:rsid w:val="7182397B"/>
    <w:rsid w:val="71986E7F"/>
    <w:rsid w:val="719952E6"/>
    <w:rsid w:val="71A26253"/>
    <w:rsid w:val="71A93503"/>
    <w:rsid w:val="71AC73C6"/>
    <w:rsid w:val="71AD1A11"/>
    <w:rsid w:val="71C443F9"/>
    <w:rsid w:val="71D0475E"/>
    <w:rsid w:val="71D92D43"/>
    <w:rsid w:val="71E21860"/>
    <w:rsid w:val="71EB412E"/>
    <w:rsid w:val="72161365"/>
    <w:rsid w:val="721A7869"/>
    <w:rsid w:val="721B697B"/>
    <w:rsid w:val="72231A03"/>
    <w:rsid w:val="7229553C"/>
    <w:rsid w:val="72312642"/>
    <w:rsid w:val="723334BB"/>
    <w:rsid w:val="7234146F"/>
    <w:rsid w:val="723637B5"/>
    <w:rsid w:val="7251239D"/>
    <w:rsid w:val="725D796D"/>
    <w:rsid w:val="72630343"/>
    <w:rsid w:val="726F182F"/>
    <w:rsid w:val="72724F70"/>
    <w:rsid w:val="7281019A"/>
    <w:rsid w:val="728576B2"/>
    <w:rsid w:val="728752CA"/>
    <w:rsid w:val="728D4F87"/>
    <w:rsid w:val="72907369"/>
    <w:rsid w:val="729B5D0E"/>
    <w:rsid w:val="72A471DF"/>
    <w:rsid w:val="72D51220"/>
    <w:rsid w:val="72D54ABB"/>
    <w:rsid w:val="72D66D46"/>
    <w:rsid w:val="72E13D67"/>
    <w:rsid w:val="72F61923"/>
    <w:rsid w:val="73006781"/>
    <w:rsid w:val="730636C3"/>
    <w:rsid w:val="7310016F"/>
    <w:rsid w:val="7327134F"/>
    <w:rsid w:val="73591E51"/>
    <w:rsid w:val="735E1215"/>
    <w:rsid w:val="735F4F8D"/>
    <w:rsid w:val="736600CA"/>
    <w:rsid w:val="73722F12"/>
    <w:rsid w:val="738238D4"/>
    <w:rsid w:val="738A17E1"/>
    <w:rsid w:val="738B6B2A"/>
    <w:rsid w:val="738D1AFA"/>
    <w:rsid w:val="739015EB"/>
    <w:rsid w:val="739C3AEB"/>
    <w:rsid w:val="739C7F8F"/>
    <w:rsid w:val="73A155A6"/>
    <w:rsid w:val="73AA26AC"/>
    <w:rsid w:val="73AA6208"/>
    <w:rsid w:val="73AD70AD"/>
    <w:rsid w:val="73B02209"/>
    <w:rsid w:val="73C335E5"/>
    <w:rsid w:val="73D56FFD"/>
    <w:rsid w:val="73DF11D1"/>
    <w:rsid w:val="73E334C8"/>
    <w:rsid w:val="73FB6AFA"/>
    <w:rsid w:val="73FE0DF1"/>
    <w:rsid w:val="74031DBD"/>
    <w:rsid w:val="74122000"/>
    <w:rsid w:val="743A5E62"/>
    <w:rsid w:val="743B70BD"/>
    <w:rsid w:val="7446455F"/>
    <w:rsid w:val="74524963"/>
    <w:rsid w:val="745B7503"/>
    <w:rsid w:val="74697558"/>
    <w:rsid w:val="747B40EB"/>
    <w:rsid w:val="749558C0"/>
    <w:rsid w:val="74AA04C3"/>
    <w:rsid w:val="74B547F1"/>
    <w:rsid w:val="74C0380A"/>
    <w:rsid w:val="74C374EF"/>
    <w:rsid w:val="74C86389"/>
    <w:rsid w:val="74CE70BD"/>
    <w:rsid w:val="74D01F15"/>
    <w:rsid w:val="74D472B5"/>
    <w:rsid w:val="750A43D4"/>
    <w:rsid w:val="750C0E7D"/>
    <w:rsid w:val="751B0A84"/>
    <w:rsid w:val="753164B5"/>
    <w:rsid w:val="75384AE6"/>
    <w:rsid w:val="75461F61"/>
    <w:rsid w:val="754809D7"/>
    <w:rsid w:val="754B6B49"/>
    <w:rsid w:val="75531D24"/>
    <w:rsid w:val="755522D9"/>
    <w:rsid w:val="755B6579"/>
    <w:rsid w:val="75683AAA"/>
    <w:rsid w:val="757D12D9"/>
    <w:rsid w:val="75992CF1"/>
    <w:rsid w:val="759B0920"/>
    <w:rsid w:val="75A1188D"/>
    <w:rsid w:val="75A60C51"/>
    <w:rsid w:val="75AE094A"/>
    <w:rsid w:val="75AF026C"/>
    <w:rsid w:val="75B34A17"/>
    <w:rsid w:val="75BB4201"/>
    <w:rsid w:val="75C44D0C"/>
    <w:rsid w:val="75D36AE2"/>
    <w:rsid w:val="75E8126A"/>
    <w:rsid w:val="75EF25F8"/>
    <w:rsid w:val="75F93A28"/>
    <w:rsid w:val="75FC3666"/>
    <w:rsid w:val="760A5684"/>
    <w:rsid w:val="76190D51"/>
    <w:rsid w:val="761C0F14"/>
    <w:rsid w:val="76206C56"/>
    <w:rsid w:val="76286F0E"/>
    <w:rsid w:val="76452218"/>
    <w:rsid w:val="76463EC2"/>
    <w:rsid w:val="76521D58"/>
    <w:rsid w:val="7661757E"/>
    <w:rsid w:val="766A7ED1"/>
    <w:rsid w:val="7671300D"/>
    <w:rsid w:val="768E0418"/>
    <w:rsid w:val="76A333E3"/>
    <w:rsid w:val="76A344AC"/>
    <w:rsid w:val="76A400B2"/>
    <w:rsid w:val="76A74C81"/>
    <w:rsid w:val="76AA0EDA"/>
    <w:rsid w:val="76AF3B36"/>
    <w:rsid w:val="76B455F0"/>
    <w:rsid w:val="76C006BA"/>
    <w:rsid w:val="76CE66B2"/>
    <w:rsid w:val="76CF24DF"/>
    <w:rsid w:val="76DF08BF"/>
    <w:rsid w:val="770E4A84"/>
    <w:rsid w:val="771E4B9A"/>
    <w:rsid w:val="772067E2"/>
    <w:rsid w:val="7726029C"/>
    <w:rsid w:val="77277B70"/>
    <w:rsid w:val="772A4F3B"/>
    <w:rsid w:val="77324E93"/>
    <w:rsid w:val="773F135E"/>
    <w:rsid w:val="77425C03"/>
    <w:rsid w:val="774A4976"/>
    <w:rsid w:val="775A6197"/>
    <w:rsid w:val="775B482C"/>
    <w:rsid w:val="77610F13"/>
    <w:rsid w:val="777234E1"/>
    <w:rsid w:val="777D3C34"/>
    <w:rsid w:val="77876861"/>
    <w:rsid w:val="7789082B"/>
    <w:rsid w:val="779A31F2"/>
    <w:rsid w:val="779E593A"/>
    <w:rsid w:val="77A21EFF"/>
    <w:rsid w:val="77A80CB1"/>
    <w:rsid w:val="77AD276B"/>
    <w:rsid w:val="77AF64E3"/>
    <w:rsid w:val="77C73CFD"/>
    <w:rsid w:val="77D9522E"/>
    <w:rsid w:val="77DF164E"/>
    <w:rsid w:val="77E641A5"/>
    <w:rsid w:val="77E837A3"/>
    <w:rsid w:val="77E90BFE"/>
    <w:rsid w:val="78040FCD"/>
    <w:rsid w:val="78144598"/>
    <w:rsid w:val="781E0F73"/>
    <w:rsid w:val="782567A5"/>
    <w:rsid w:val="782B3690"/>
    <w:rsid w:val="78462278"/>
    <w:rsid w:val="78473352"/>
    <w:rsid w:val="785C1A9B"/>
    <w:rsid w:val="78623556"/>
    <w:rsid w:val="7868128B"/>
    <w:rsid w:val="78821222"/>
    <w:rsid w:val="788B412F"/>
    <w:rsid w:val="78AA1408"/>
    <w:rsid w:val="78CA4C57"/>
    <w:rsid w:val="78E24696"/>
    <w:rsid w:val="78E47CFE"/>
    <w:rsid w:val="78E52CDF"/>
    <w:rsid w:val="78EF290F"/>
    <w:rsid w:val="78F46178"/>
    <w:rsid w:val="790B77C1"/>
    <w:rsid w:val="790E0FE8"/>
    <w:rsid w:val="791462AD"/>
    <w:rsid w:val="79167A55"/>
    <w:rsid w:val="7919798C"/>
    <w:rsid w:val="791E3FC8"/>
    <w:rsid w:val="79297BCF"/>
    <w:rsid w:val="79355B69"/>
    <w:rsid w:val="79425135"/>
    <w:rsid w:val="7942745F"/>
    <w:rsid w:val="7955321E"/>
    <w:rsid w:val="797926D7"/>
    <w:rsid w:val="798017B9"/>
    <w:rsid w:val="79872B48"/>
    <w:rsid w:val="799325F8"/>
    <w:rsid w:val="79964022"/>
    <w:rsid w:val="79991EBA"/>
    <w:rsid w:val="799C405E"/>
    <w:rsid w:val="799E680F"/>
    <w:rsid w:val="79A61220"/>
    <w:rsid w:val="79BC4EE7"/>
    <w:rsid w:val="79C078C5"/>
    <w:rsid w:val="79C21DD2"/>
    <w:rsid w:val="79C36276"/>
    <w:rsid w:val="79D34EAE"/>
    <w:rsid w:val="79D479B8"/>
    <w:rsid w:val="79D776DB"/>
    <w:rsid w:val="79D833A4"/>
    <w:rsid w:val="79DF2984"/>
    <w:rsid w:val="79E12D21"/>
    <w:rsid w:val="79ED32F3"/>
    <w:rsid w:val="79F12CBC"/>
    <w:rsid w:val="79F133A3"/>
    <w:rsid w:val="79FD0C2C"/>
    <w:rsid w:val="7A0E6DA2"/>
    <w:rsid w:val="7A124B07"/>
    <w:rsid w:val="7A19179E"/>
    <w:rsid w:val="7A1C7BE9"/>
    <w:rsid w:val="7A260B47"/>
    <w:rsid w:val="7A2E25B6"/>
    <w:rsid w:val="7A3031E0"/>
    <w:rsid w:val="7A3945A5"/>
    <w:rsid w:val="7A4A24F3"/>
    <w:rsid w:val="7A4B29B6"/>
    <w:rsid w:val="7A4B626B"/>
    <w:rsid w:val="7A5466DF"/>
    <w:rsid w:val="7A594721"/>
    <w:rsid w:val="7A5A5398"/>
    <w:rsid w:val="7A5D3F5A"/>
    <w:rsid w:val="7A6335B5"/>
    <w:rsid w:val="7A6A0B10"/>
    <w:rsid w:val="7A794B87"/>
    <w:rsid w:val="7A911A07"/>
    <w:rsid w:val="7AAC6D0A"/>
    <w:rsid w:val="7AB23BF5"/>
    <w:rsid w:val="7AB7745D"/>
    <w:rsid w:val="7AB77C02"/>
    <w:rsid w:val="7AC57950"/>
    <w:rsid w:val="7ACD0A2E"/>
    <w:rsid w:val="7ADB75EF"/>
    <w:rsid w:val="7AF66E3A"/>
    <w:rsid w:val="7B016C46"/>
    <w:rsid w:val="7B0501C8"/>
    <w:rsid w:val="7B06349B"/>
    <w:rsid w:val="7B0752FE"/>
    <w:rsid w:val="7B0869BE"/>
    <w:rsid w:val="7B094295"/>
    <w:rsid w:val="7B0E3521"/>
    <w:rsid w:val="7B1A261A"/>
    <w:rsid w:val="7B276391"/>
    <w:rsid w:val="7B341A24"/>
    <w:rsid w:val="7B3F329E"/>
    <w:rsid w:val="7B486307"/>
    <w:rsid w:val="7B4E41B6"/>
    <w:rsid w:val="7B4E7DC1"/>
    <w:rsid w:val="7B641393"/>
    <w:rsid w:val="7B670E83"/>
    <w:rsid w:val="7B7006E0"/>
    <w:rsid w:val="7B89704B"/>
    <w:rsid w:val="7B902188"/>
    <w:rsid w:val="7B9621A7"/>
    <w:rsid w:val="7B9F061D"/>
    <w:rsid w:val="7BAB2604"/>
    <w:rsid w:val="7BAB6FC2"/>
    <w:rsid w:val="7BB37C24"/>
    <w:rsid w:val="7BB87930"/>
    <w:rsid w:val="7BBF0CBF"/>
    <w:rsid w:val="7BC713E9"/>
    <w:rsid w:val="7BD75B48"/>
    <w:rsid w:val="7BDF66C9"/>
    <w:rsid w:val="7BE40725"/>
    <w:rsid w:val="7BE76E76"/>
    <w:rsid w:val="7BF623DE"/>
    <w:rsid w:val="7BFA5853"/>
    <w:rsid w:val="7BFD3595"/>
    <w:rsid w:val="7BFE17E7"/>
    <w:rsid w:val="7C1903CF"/>
    <w:rsid w:val="7C2E374F"/>
    <w:rsid w:val="7C302A9C"/>
    <w:rsid w:val="7C321491"/>
    <w:rsid w:val="7C330D65"/>
    <w:rsid w:val="7C350F81"/>
    <w:rsid w:val="7C354ADD"/>
    <w:rsid w:val="7C387CC3"/>
    <w:rsid w:val="7C4B2553"/>
    <w:rsid w:val="7C572CA5"/>
    <w:rsid w:val="7C6A7C35"/>
    <w:rsid w:val="7C7E0232"/>
    <w:rsid w:val="7C817D22"/>
    <w:rsid w:val="7C8C631C"/>
    <w:rsid w:val="7C8F243F"/>
    <w:rsid w:val="7CA77CB5"/>
    <w:rsid w:val="7CAD2AA8"/>
    <w:rsid w:val="7CB65C1E"/>
    <w:rsid w:val="7CBC0D5A"/>
    <w:rsid w:val="7CC0084B"/>
    <w:rsid w:val="7CC04CEF"/>
    <w:rsid w:val="7CC332B9"/>
    <w:rsid w:val="7CC3658D"/>
    <w:rsid w:val="7CDD3E5F"/>
    <w:rsid w:val="7CE15F77"/>
    <w:rsid w:val="7D032E2D"/>
    <w:rsid w:val="7D097764"/>
    <w:rsid w:val="7D20578D"/>
    <w:rsid w:val="7D244A6B"/>
    <w:rsid w:val="7D344D95"/>
    <w:rsid w:val="7D3923AB"/>
    <w:rsid w:val="7D396321"/>
    <w:rsid w:val="7D486A0F"/>
    <w:rsid w:val="7D4C6582"/>
    <w:rsid w:val="7D501359"/>
    <w:rsid w:val="7D5B0573"/>
    <w:rsid w:val="7D5B4A17"/>
    <w:rsid w:val="7D641B1E"/>
    <w:rsid w:val="7D6600D4"/>
    <w:rsid w:val="7D6E7133"/>
    <w:rsid w:val="7D7160BD"/>
    <w:rsid w:val="7D741635"/>
    <w:rsid w:val="7D7E401A"/>
    <w:rsid w:val="7D9720E8"/>
    <w:rsid w:val="7D9D0B8C"/>
    <w:rsid w:val="7DAC7021"/>
    <w:rsid w:val="7DB639FC"/>
    <w:rsid w:val="7DD16A88"/>
    <w:rsid w:val="7DDD3F75"/>
    <w:rsid w:val="7DDE2B19"/>
    <w:rsid w:val="7DF34AAF"/>
    <w:rsid w:val="7E062060"/>
    <w:rsid w:val="7E086911"/>
    <w:rsid w:val="7E0C134A"/>
    <w:rsid w:val="7E1142E0"/>
    <w:rsid w:val="7E116F18"/>
    <w:rsid w:val="7E2453C6"/>
    <w:rsid w:val="7E370FE0"/>
    <w:rsid w:val="7E394D59"/>
    <w:rsid w:val="7E3D7E0F"/>
    <w:rsid w:val="7E3E411D"/>
    <w:rsid w:val="7E41212C"/>
    <w:rsid w:val="7E422585"/>
    <w:rsid w:val="7E4A2117"/>
    <w:rsid w:val="7E576F8D"/>
    <w:rsid w:val="7E5873B7"/>
    <w:rsid w:val="7E5971A9"/>
    <w:rsid w:val="7E6D055E"/>
    <w:rsid w:val="7E7713DD"/>
    <w:rsid w:val="7E8104AE"/>
    <w:rsid w:val="7E8C21BF"/>
    <w:rsid w:val="7E8D29AE"/>
    <w:rsid w:val="7E957AB5"/>
    <w:rsid w:val="7EB10CEF"/>
    <w:rsid w:val="7EB91640"/>
    <w:rsid w:val="7EBE0DBA"/>
    <w:rsid w:val="7EC776DB"/>
    <w:rsid w:val="7EDF61D1"/>
    <w:rsid w:val="7EE71473"/>
    <w:rsid w:val="7EEF5417"/>
    <w:rsid w:val="7EF649F8"/>
    <w:rsid w:val="7F0C2B94"/>
    <w:rsid w:val="7F156363"/>
    <w:rsid w:val="7F183715"/>
    <w:rsid w:val="7F2350C1"/>
    <w:rsid w:val="7F277201"/>
    <w:rsid w:val="7F565CF2"/>
    <w:rsid w:val="7F595C69"/>
    <w:rsid w:val="7F5D0387"/>
    <w:rsid w:val="7F5F65D1"/>
    <w:rsid w:val="7F6000C3"/>
    <w:rsid w:val="7F6776A3"/>
    <w:rsid w:val="7F7E49ED"/>
    <w:rsid w:val="7F7F2C3F"/>
    <w:rsid w:val="7F9164CE"/>
    <w:rsid w:val="7F9526B0"/>
    <w:rsid w:val="7F985AAF"/>
    <w:rsid w:val="7F9D1317"/>
    <w:rsid w:val="7F9F6E3D"/>
    <w:rsid w:val="7FBC31A1"/>
    <w:rsid w:val="7FC411AE"/>
    <w:rsid w:val="7FD66D1E"/>
    <w:rsid w:val="7FE26D2A"/>
    <w:rsid w:val="7FE67798"/>
    <w:rsid w:val="7FE67818"/>
    <w:rsid w:val="7FE9455C"/>
    <w:rsid w:val="7FEE56CF"/>
    <w:rsid w:val="7FF76C79"/>
    <w:rsid w:val="7FF802FC"/>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qFormat="1" w:unhideWhenUsed="0" w:uiPriority="0"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qFormat="1" w:uiPriority="99" w:semiHidden="0" w:name="Body Text First Indent 2"/>
    <w:lsdException w:qFormat="1" w:uiPriority="0"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iPriority="0" w:name="Document Map"/>
    <w:lsdException w:qFormat="1" w:unhideWhenUsed="0" w:uiPriority="0" w:semiHidden="0" w:name="Plain Text"/>
    <w:lsdException w:uiPriority="99" w:name="E-mail Signature"/>
    <w:lsdException w:qFormat="1" w:uiPriority="99" w:semiHidden="0" w:name="Normal (Web)"/>
    <w:lsdException w:qFormat="1" w:unhideWhenUsed="0" w:uiPriority="0" w:semiHidden="0" w:name="HTML Acronym"/>
    <w:lsdException w:uiPriority="99"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iPriority="0" w:semiHidden="0" w:name="HTML Preformatted"/>
    <w:lsdException w:qFormat="1" w:uiPriority="0" w:semiHidden="0" w:name="HTML Sample"/>
    <w:lsdException w:uiPriority="99" w:name="HTML Typewriter"/>
    <w:lsdException w:qFormat="1"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qFormat="1" w:uiPriority="0" w:semiHidden="0"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82"/>
    <w:autoRedefine/>
    <w:qFormat/>
    <w:uiPriority w:val="0"/>
    <w:pPr>
      <w:keepNext/>
      <w:keepLines/>
      <w:spacing w:line="576" w:lineRule="auto"/>
      <w:outlineLvl w:val="0"/>
    </w:pPr>
    <w:rPr>
      <w:b/>
      <w:kern w:val="44"/>
      <w:sz w:val="44"/>
    </w:rPr>
  </w:style>
  <w:style w:type="paragraph" w:styleId="4">
    <w:name w:val="heading 2"/>
    <w:basedOn w:val="1"/>
    <w:next w:val="1"/>
    <w:link w:val="83"/>
    <w:autoRedefine/>
    <w:unhideWhenUsed/>
    <w:qFormat/>
    <w:uiPriority w:val="0"/>
    <w:pPr>
      <w:keepNext/>
      <w:keepLines/>
      <w:spacing w:line="413" w:lineRule="auto"/>
      <w:outlineLvl w:val="1"/>
    </w:pPr>
    <w:rPr>
      <w:rFonts w:ascii="Arial" w:hAnsi="Arial" w:eastAsia="黑体"/>
      <w:b/>
      <w:sz w:val="32"/>
    </w:rPr>
  </w:style>
  <w:style w:type="paragraph" w:styleId="5">
    <w:name w:val="heading 3"/>
    <w:basedOn w:val="1"/>
    <w:next w:val="1"/>
    <w:link w:val="84"/>
    <w:autoRedefine/>
    <w:qFormat/>
    <w:uiPriority w:val="0"/>
    <w:pPr>
      <w:keepNext/>
      <w:keepLines/>
      <w:spacing w:before="260" w:after="260" w:line="416" w:lineRule="auto"/>
      <w:outlineLvl w:val="2"/>
    </w:pPr>
    <w:rPr>
      <w:rFonts w:ascii="Times New Roman" w:hAnsi="Times New Roman" w:eastAsia="宋体" w:cs="Times New Roman"/>
      <w:b/>
      <w:bCs/>
      <w:sz w:val="32"/>
      <w:szCs w:val="32"/>
      <w:lang w:val="zh-CN"/>
    </w:rPr>
  </w:style>
  <w:style w:type="paragraph" w:styleId="6">
    <w:name w:val="heading 4"/>
    <w:basedOn w:val="1"/>
    <w:next w:val="1"/>
    <w:link w:val="85"/>
    <w:autoRedefine/>
    <w:unhideWhenUsed/>
    <w:qFormat/>
    <w:uiPriority w:val="0"/>
    <w:pPr>
      <w:keepNext/>
      <w:keepLines/>
      <w:spacing w:line="372" w:lineRule="auto"/>
      <w:outlineLvl w:val="3"/>
    </w:pPr>
    <w:rPr>
      <w:rFonts w:ascii="Arial" w:hAnsi="Arial" w:eastAsia="黑体"/>
      <w:b/>
      <w:sz w:val="28"/>
    </w:rPr>
  </w:style>
  <w:style w:type="paragraph" w:styleId="7">
    <w:name w:val="heading 5"/>
    <w:basedOn w:val="1"/>
    <w:next w:val="1"/>
    <w:link w:val="86"/>
    <w:autoRedefine/>
    <w:unhideWhenUsed/>
    <w:qFormat/>
    <w:uiPriority w:val="0"/>
    <w:pPr>
      <w:keepNext/>
      <w:keepLines/>
      <w:spacing w:line="372" w:lineRule="auto"/>
      <w:outlineLvl w:val="4"/>
    </w:pPr>
    <w:rPr>
      <w:b/>
      <w:sz w:val="28"/>
    </w:rPr>
  </w:style>
  <w:style w:type="paragraph" w:styleId="8">
    <w:name w:val="heading 6"/>
    <w:basedOn w:val="1"/>
    <w:next w:val="1"/>
    <w:link w:val="87"/>
    <w:autoRedefine/>
    <w:unhideWhenUsed/>
    <w:qFormat/>
    <w:uiPriority w:val="0"/>
    <w:pPr>
      <w:keepNext/>
      <w:keepLines/>
      <w:spacing w:line="317" w:lineRule="auto"/>
      <w:outlineLvl w:val="5"/>
    </w:pPr>
    <w:rPr>
      <w:rFonts w:ascii="Arial" w:hAnsi="Arial" w:eastAsia="黑体"/>
      <w:b/>
      <w:sz w:val="24"/>
    </w:rPr>
  </w:style>
  <w:style w:type="paragraph" w:styleId="9">
    <w:name w:val="heading 7"/>
    <w:basedOn w:val="1"/>
    <w:next w:val="1"/>
    <w:link w:val="88"/>
    <w:autoRedefine/>
    <w:unhideWhenUsed/>
    <w:qFormat/>
    <w:uiPriority w:val="0"/>
    <w:pPr>
      <w:keepNext/>
      <w:keepLines/>
      <w:spacing w:line="317" w:lineRule="auto"/>
      <w:outlineLvl w:val="6"/>
    </w:pPr>
    <w:rPr>
      <w:b/>
      <w:sz w:val="24"/>
    </w:rPr>
  </w:style>
  <w:style w:type="paragraph" w:styleId="10">
    <w:name w:val="heading 8"/>
    <w:basedOn w:val="1"/>
    <w:next w:val="1"/>
    <w:link w:val="89"/>
    <w:autoRedefine/>
    <w:unhideWhenUsed/>
    <w:qFormat/>
    <w:uiPriority w:val="0"/>
    <w:pPr>
      <w:keepNext/>
      <w:keepLines/>
      <w:spacing w:line="317" w:lineRule="auto"/>
      <w:outlineLvl w:val="7"/>
    </w:pPr>
    <w:rPr>
      <w:rFonts w:ascii="Arial" w:hAnsi="Arial" w:eastAsia="黑体"/>
      <w:sz w:val="24"/>
    </w:rPr>
  </w:style>
  <w:style w:type="paragraph" w:styleId="11">
    <w:name w:val="heading 9"/>
    <w:basedOn w:val="1"/>
    <w:next w:val="1"/>
    <w:link w:val="90"/>
    <w:autoRedefine/>
    <w:unhideWhenUsed/>
    <w:qFormat/>
    <w:uiPriority w:val="0"/>
    <w:pPr>
      <w:keepNext/>
      <w:keepLines/>
      <w:spacing w:line="317" w:lineRule="auto"/>
      <w:outlineLvl w:val="8"/>
    </w:pPr>
    <w:rPr>
      <w:rFonts w:ascii="Arial" w:hAnsi="Arial" w:eastAsia="黑体"/>
    </w:rPr>
  </w:style>
  <w:style w:type="character" w:default="1" w:styleId="60">
    <w:name w:val="Default Paragraph Font"/>
    <w:autoRedefine/>
    <w:semiHidden/>
    <w:unhideWhenUsed/>
    <w:qFormat/>
    <w:uiPriority w:val="1"/>
  </w:style>
  <w:style w:type="table" w:default="1" w:styleId="57">
    <w:name w:val="Normal Table"/>
    <w:autoRedefine/>
    <w:semiHidden/>
    <w:unhideWhenUsed/>
    <w:qFormat/>
    <w:uiPriority w:val="99"/>
    <w:tblPr>
      <w:tblCellMar>
        <w:top w:w="0" w:type="dxa"/>
        <w:left w:w="108" w:type="dxa"/>
        <w:bottom w:w="0" w:type="dxa"/>
        <w:right w:w="108" w:type="dxa"/>
      </w:tblCellMar>
    </w:tblPr>
  </w:style>
  <w:style w:type="paragraph" w:customStyle="1" w:styleId="3">
    <w:name w:val="biaoge"/>
    <w:basedOn w:val="1"/>
    <w:autoRedefine/>
    <w:qFormat/>
    <w:uiPriority w:val="0"/>
    <w:pPr>
      <w:spacing w:line="240" w:lineRule="exact"/>
      <w:jc w:val="center"/>
    </w:pPr>
  </w:style>
  <w:style w:type="paragraph" w:styleId="12">
    <w:name w:val="List 3"/>
    <w:basedOn w:val="1"/>
    <w:autoRedefine/>
    <w:qFormat/>
    <w:uiPriority w:val="0"/>
    <w:pPr>
      <w:jc w:val="center"/>
    </w:pPr>
  </w:style>
  <w:style w:type="paragraph" w:styleId="13">
    <w:name w:val="toc 7"/>
    <w:basedOn w:val="1"/>
    <w:next w:val="1"/>
    <w:autoRedefine/>
    <w:qFormat/>
    <w:uiPriority w:val="39"/>
    <w:pPr>
      <w:ind w:left="1260"/>
      <w:jc w:val="left"/>
    </w:pPr>
    <w:rPr>
      <w:rFonts w:ascii="Times New Roman" w:hAnsi="Times New Roman" w:eastAsia="宋体" w:cs="Times New Roman"/>
      <w:sz w:val="18"/>
      <w:szCs w:val="18"/>
    </w:rPr>
  </w:style>
  <w:style w:type="paragraph" w:styleId="14">
    <w:name w:val="table of authorities"/>
    <w:basedOn w:val="1"/>
    <w:next w:val="1"/>
    <w:autoRedefine/>
    <w:semiHidden/>
    <w:qFormat/>
    <w:uiPriority w:val="0"/>
    <w:pPr>
      <w:ind w:left="420" w:leftChars="200"/>
    </w:pPr>
    <w:rPr>
      <w:rFonts w:ascii="Times New Roman" w:hAnsi="Times New Roman" w:eastAsia="宋体" w:cs="Times New Roman"/>
      <w:szCs w:val="21"/>
    </w:rPr>
  </w:style>
  <w:style w:type="paragraph" w:styleId="15">
    <w:name w:val="Note Heading"/>
    <w:basedOn w:val="1"/>
    <w:next w:val="1"/>
    <w:link w:val="91"/>
    <w:autoRedefine/>
    <w:unhideWhenUsed/>
    <w:qFormat/>
    <w:uiPriority w:val="0"/>
    <w:pPr>
      <w:jc w:val="center"/>
    </w:pPr>
  </w:style>
  <w:style w:type="paragraph" w:styleId="16">
    <w:name w:val="List Number"/>
    <w:basedOn w:val="1"/>
    <w:autoRedefine/>
    <w:qFormat/>
    <w:uiPriority w:val="0"/>
    <w:pPr>
      <w:adjustRightInd w:val="0"/>
      <w:snapToGrid w:val="0"/>
      <w:spacing w:line="360" w:lineRule="auto"/>
      <w:ind w:left="420" w:hanging="420"/>
    </w:pPr>
    <w:rPr>
      <w:rFonts w:ascii="Times New Roman" w:hAnsi="Times New Roman" w:eastAsia="宋体" w:cs="Times New Roman"/>
      <w:sz w:val="24"/>
      <w:szCs w:val="20"/>
    </w:rPr>
  </w:style>
  <w:style w:type="paragraph" w:styleId="17">
    <w:name w:val="Normal Indent"/>
    <w:basedOn w:val="1"/>
    <w:next w:val="1"/>
    <w:link w:val="92"/>
    <w:autoRedefine/>
    <w:qFormat/>
    <w:uiPriority w:val="99"/>
    <w:pPr>
      <w:jc w:val="center"/>
    </w:pPr>
    <w:rPr>
      <w:rFonts w:eastAsia="黑体"/>
      <w:szCs w:val="21"/>
    </w:rPr>
  </w:style>
  <w:style w:type="paragraph" w:styleId="18">
    <w:name w:val="caption"/>
    <w:basedOn w:val="1"/>
    <w:next w:val="1"/>
    <w:link w:val="93"/>
    <w:autoRedefine/>
    <w:qFormat/>
    <w:uiPriority w:val="0"/>
    <w:pPr>
      <w:adjustRightInd w:val="0"/>
      <w:snapToGrid w:val="0"/>
      <w:spacing w:line="360" w:lineRule="auto"/>
      <w:jc w:val="left"/>
    </w:pPr>
    <w:rPr>
      <w:rFonts w:ascii="Times New Roman" w:hAnsi="Times New Roman" w:eastAsia="黑体"/>
      <w:sz w:val="24"/>
    </w:rPr>
  </w:style>
  <w:style w:type="paragraph" w:styleId="19">
    <w:name w:val="List Bullet"/>
    <w:basedOn w:val="1"/>
    <w:autoRedefine/>
    <w:qFormat/>
    <w:uiPriority w:val="0"/>
    <w:pPr>
      <w:tabs>
        <w:tab w:val="left" w:pos="360"/>
        <w:tab w:val="left" w:pos="962"/>
      </w:tabs>
    </w:pPr>
    <w:rPr>
      <w:rFonts w:ascii="Times New Roman" w:hAnsi="Times New Roman" w:eastAsia="宋体" w:cs="Times New Roman"/>
      <w:szCs w:val="21"/>
    </w:rPr>
  </w:style>
  <w:style w:type="paragraph" w:styleId="20">
    <w:name w:val="Document Map"/>
    <w:basedOn w:val="1"/>
    <w:link w:val="94"/>
    <w:autoRedefine/>
    <w:semiHidden/>
    <w:unhideWhenUsed/>
    <w:qFormat/>
    <w:uiPriority w:val="0"/>
    <w:rPr>
      <w:rFonts w:ascii="宋体" w:eastAsia="宋体"/>
      <w:sz w:val="18"/>
      <w:szCs w:val="18"/>
    </w:rPr>
  </w:style>
  <w:style w:type="paragraph" w:styleId="21">
    <w:name w:val="toa heading"/>
    <w:basedOn w:val="1"/>
    <w:next w:val="1"/>
    <w:autoRedefine/>
    <w:qFormat/>
    <w:uiPriority w:val="0"/>
    <w:pPr>
      <w:spacing w:before="120"/>
    </w:pPr>
    <w:rPr>
      <w:rFonts w:ascii="Cambria" w:hAnsi="Cambria" w:cs="Times New Roman"/>
      <w:sz w:val="24"/>
    </w:rPr>
  </w:style>
  <w:style w:type="paragraph" w:styleId="22">
    <w:name w:val="annotation text"/>
    <w:basedOn w:val="1"/>
    <w:link w:val="95"/>
    <w:autoRedefine/>
    <w:unhideWhenUsed/>
    <w:qFormat/>
    <w:uiPriority w:val="0"/>
    <w:pPr>
      <w:jc w:val="left"/>
    </w:pPr>
    <w:rPr>
      <w:rFonts w:ascii="Calibri" w:hAnsi="Calibri" w:eastAsia="宋体" w:cs="Times New Roman"/>
    </w:rPr>
  </w:style>
  <w:style w:type="paragraph" w:styleId="23">
    <w:name w:val="Body Text 3"/>
    <w:basedOn w:val="1"/>
    <w:link w:val="96"/>
    <w:autoRedefine/>
    <w:unhideWhenUsed/>
    <w:qFormat/>
    <w:uiPriority w:val="0"/>
    <w:rPr>
      <w:sz w:val="16"/>
    </w:rPr>
  </w:style>
  <w:style w:type="paragraph" w:styleId="24">
    <w:name w:val="Body Text"/>
    <w:basedOn w:val="1"/>
    <w:link w:val="97"/>
    <w:autoRedefine/>
    <w:unhideWhenUsed/>
    <w:qFormat/>
    <w:uiPriority w:val="99"/>
    <w:pPr>
      <w:spacing w:after="120"/>
    </w:pPr>
  </w:style>
  <w:style w:type="paragraph" w:styleId="25">
    <w:name w:val="Body Text Indent"/>
    <w:basedOn w:val="1"/>
    <w:next w:val="26"/>
    <w:link w:val="81"/>
    <w:autoRedefine/>
    <w:qFormat/>
    <w:uiPriority w:val="99"/>
    <w:pPr>
      <w:spacing w:after="120"/>
      <w:ind w:left="420" w:leftChars="200"/>
    </w:pPr>
  </w:style>
  <w:style w:type="paragraph" w:customStyle="1" w:styleId="26">
    <w:name w:val="样式 正文文本缩进 + 行距: 1.5 倍行距"/>
    <w:basedOn w:val="25"/>
    <w:autoRedefine/>
    <w:qFormat/>
    <w:uiPriority w:val="0"/>
    <w:pPr>
      <w:snapToGrid/>
      <w:spacing w:before="0" w:after="120" w:line="360" w:lineRule="auto"/>
      <w:ind w:left="90" w:leftChars="32" w:firstLine="560" w:firstLineChars="200"/>
    </w:pPr>
    <w:rPr>
      <w:rFonts w:ascii="Times New Roman" w:eastAsia="宋体" w:cs="宋体"/>
    </w:rPr>
  </w:style>
  <w:style w:type="paragraph" w:styleId="27">
    <w:name w:val="List 2"/>
    <w:basedOn w:val="1"/>
    <w:autoRedefine/>
    <w:qFormat/>
    <w:uiPriority w:val="0"/>
    <w:pPr>
      <w:ind w:left="100" w:leftChars="200" w:hanging="200" w:hangingChars="200"/>
    </w:pPr>
    <w:rPr>
      <w:rFonts w:ascii="Calibri" w:hAnsi="Calibri" w:eastAsia="宋体" w:cs="Times New Roman"/>
      <w:szCs w:val="21"/>
    </w:rPr>
  </w:style>
  <w:style w:type="paragraph" w:styleId="28">
    <w:name w:val="Block Text"/>
    <w:basedOn w:val="1"/>
    <w:autoRedefine/>
    <w:qFormat/>
    <w:uiPriority w:val="0"/>
    <w:pPr>
      <w:spacing w:line="500" w:lineRule="exact"/>
      <w:ind w:left="-105" w:leftChars="-50" w:right="-105" w:rightChars="-50"/>
      <w:jc w:val="center"/>
    </w:pPr>
    <w:rPr>
      <w:rFonts w:ascii="Times New Roman" w:hAnsi="Times New Roman" w:eastAsia="仿宋_GB2312" w:cs="Times New Roman"/>
      <w:sz w:val="28"/>
      <w:szCs w:val="24"/>
    </w:rPr>
  </w:style>
  <w:style w:type="paragraph" w:styleId="29">
    <w:name w:val="toc 5"/>
    <w:basedOn w:val="1"/>
    <w:next w:val="1"/>
    <w:autoRedefine/>
    <w:qFormat/>
    <w:uiPriority w:val="39"/>
    <w:pPr>
      <w:ind w:left="840"/>
      <w:jc w:val="left"/>
    </w:pPr>
    <w:rPr>
      <w:rFonts w:ascii="Times New Roman" w:hAnsi="Times New Roman" w:eastAsia="宋体" w:cs="Times New Roman"/>
      <w:sz w:val="18"/>
      <w:szCs w:val="18"/>
    </w:rPr>
  </w:style>
  <w:style w:type="paragraph" w:styleId="30">
    <w:name w:val="toc 3"/>
    <w:basedOn w:val="1"/>
    <w:next w:val="1"/>
    <w:autoRedefine/>
    <w:qFormat/>
    <w:uiPriority w:val="39"/>
    <w:pPr>
      <w:ind w:left="420"/>
      <w:jc w:val="left"/>
    </w:pPr>
    <w:rPr>
      <w:rFonts w:ascii="Times New Roman" w:hAnsi="Times New Roman" w:eastAsia="宋体" w:cs="Times New Roman"/>
      <w:i/>
      <w:iCs/>
      <w:sz w:val="20"/>
      <w:szCs w:val="20"/>
    </w:rPr>
  </w:style>
  <w:style w:type="paragraph" w:styleId="31">
    <w:name w:val="Plain Text"/>
    <w:basedOn w:val="1"/>
    <w:next w:val="1"/>
    <w:link w:val="98"/>
    <w:autoRedefine/>
    <w:qFormat/>
    <w:uiPriority w:val="0"/>
    <w:rPr>
      <w:rFonts w:ascii="宋体" w:hAnsi="Courier New" w:eastAsia="宋体" w:cs="Times New Roman"/>
      <w:szCs w:val="21"/>
    </w:rPr>
  </w:style>
  <w:style w:type="paragraph" w:styleId="32">
    <w:name w:val="toc 8"/>
    <w:basedOn w:val="1"/>
    <w:next w:val="1"/>
    <w:autoRedefine/>
    <w:qFormat/>
    <w:uiPriority w:val="39"/>
    <w:pPr>
      <w:ind w:left="1470"/>
      <w:jc w:val="left"/>
    </w:pPr>
    <w:rPr>
      <w:rFonts w:ascii="Times New Roman" w:hAnsi="Times New Roman" w:eastAsia="宋体" w:cs="Times New Roman"/>
      <w:sz w:val="18"/>
      <w:szCs w:val="18"/>
    </w:rPr>
  </w:style>
  <w:style w:type="paragraph" w:styleId="33">
    <w:name w:val="Date"/>
    <w:basedOn w:val="1"/>
    <w:next w:val="1"/>
    <w:link w:val="99"/>
    <w:autoRedefine/>
    <w:unhideWhenUsed/>
    <w:qFormat/>
    <w:uiPriority w:val="0"/>
    <w:pPr>
      <w:ind w:left="100" w:leftChars="2500"/>
    </w:pPr>
  </w:style>
  <w:style w:type="paragraph" w:styleId="34">
    <w:name w:val="Body Text Indent 2"/>
    <w:basedOn w:val="1"/>
    <w:next w:val="35"/>
    <w:link w:val="100"/>
    <w:autoRedefine/>
    <w:unhideWhenUsed/>
    <w:qFormat/>
    <w:uiPriority w:val="0"/>
    <w:pPr>
      <w:spacing w:line="480" w:lineRule="auto"/>
      <w:ind w:left="420" w:leftChars="200"/>
    </w:pPr>
  </w:style>
  <w:style w:type="paragraph" w:styleId="35">
    <w:name w:val="Body Text First Indent 2"/>
    <w:basedOn w:val="25"/>
    <w:next w:val="1"/>
    <w:link w:val="113"/>
    <w:autoRedefine/>
    <w:unhideWhenUsed/>
    <w:qFormat/>
    <w:uiPriority w:val="99"/>
    <w:pPr>
      <w:ind w:firstLine="420" w:firstLineChars="200"/>
    </w:pPr>
    <w:rPr>
      <w:rFonts w:ascii="Calibri" w:hAnsi="Calibri" w:eastAsia="宋体" w:cs="Times New Roman"/>
    </w:rPr>
  </w:style>
  <w:style w:type="paragraph" w:styleId="36">
    <w:name w:val="Balloon Text"/>
    <w:basedOn w:val="1"/>
    <w:link w:val="101"/>
    <w:autoRedefine/>
    <w:unhideWhenUsed/>
    <w:qFormat/>
    <w:uiPriority w:val="0"/>
    <w:rPr>
      <w:sz w:val="18"/>
      <w:szCs w:val="18"/>
    </w:rPr>
  </w:style>
  <w:style w:type="paragraph" w:styleId="37">
    <w:name w:val="footer"/>
    <w:basedOn w:val="1"/>
    <w:next w:val="38"/>
    <w:link w:val="102"/>
    <w:autoRedefine/>
    <w:unhideWhenUsed/>
    <w:qFormat/>
    <w:uiPriority w:val="99"/>
    <w:pPr>
      <w:tabs>
        <w:tab w:val="center" w:pos="4153"/>
        <w:tab w:val="right" w:pos="8306"/>
      </w:tabs>
      <w:snapToGrid w:val="0"/>
      <w:jc w:val="left"/>
    </w:pPr>
    <w:rPr>
      <w:sz w:val="18"/>
      <w:szCs w:val="18"/>
    </w:rPr>
  </w:style>
  <w:style w:type="paragraph" w:styleId="38">
    <w:name w:val="Normal (Web)"/>
    <w:basedOn w:val="1"/>
    <w:next w:val="39"/>
    <w:link w:val="109"/>
    <w:autoRedefine/>
    <w:unhideWhenUsed/>
    <w:qFormat/>
    <w:uiPriority w:val="99"/>
    <w:pPr>
      <w:widowControl/>
      <w:spacing w:before="100" w:beforeAutospacing="1" w:after="100" w:afterAutospacing="1"/>
      <w:jc w:val="left"/>
    </w:pPr>
    <w:rPr>
      <w:rFonts w:ascii="宋体" w:hAnsi="宋体" w:eastAsia="宋体"/>
      <w:sz w:val="24"/>
    </w:rPr>
  </w:style>
  <w:style w:type="paragraph" w:customStyle="1" w:styleId="39">
    <w:name w:val="toc 84"/>
    <w:next w:val="1"/>
    <w:autoRedefine/>
    <w:qFormat/>
    <w:uiPriority w:val="0"/>
    <w:pPr>
      <w:wordWrap w:val="0"/>
      <w:ind w:left="2975"/>
      <w:jc w:val="both"/>
    </w:pPr>
    <w:rPr>
      <w:rFonts w:ascii="宋体" w:hAnsi="宋体" w:eastAsia="Calibri" w:cs="Times New Roman"/>
      <w:sz w:val="21"/>
      <w:szCs w:val="22"/>
      <w:lang w:val="en-US" w:eastAsia="zh-CN" w:bidi="ar-SA"/>
    </w:rPr>
  </w:style>
  <w:style w:type="paragraph" w:styleId="40">
    <w:name w:val="header"/>
    <w:basedOn w:val="1"/>
    <w:next w:val="41"/>
    <w:link w:val="10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41">
    <w:name w:val="样式5"/>
    <w:basedOn w:val="1"/>
    <w:link w:val="298"/>
    <w:autoRedefine/>
    <w:qFormat/>
    <w:uiPriority w:val="0"/>
    <w:pPr>
      <w:spacing w:line="360" w:lineRule="auto"/>
      <w:ind w:firstLine="480"/>
    </w:pPr>
    <w:rPr>
      <w:rFonts w:ascii="Times New Roman" w:hAnsi="Times New Roman" w:eastAsia="宋体" w:cs="Times New Roman"/>
      <w:sz w:val="24"/>
      <w:szCs w:val="24"/>
    </w:rPr>
  </w:style>
  <w:style w:type="paragraph" w:styleId="42">
    <w:name w:val="toc 1"/>
    <w:basedOn w:val="1"/>
    <w:next w:val="1"/>
    <w:link w:val="104"/>
    <w:autoRedefine/>
    <w:unhideWhenUsed/>
    <w:qFormat/>
    <w:uiPriority w:val="39"/>
  </w:style>
  <w:style w:type="paragraph" w:styleId="43">
    <w:name w:val="toc 4"/>
    <w:basedOn w:val="1"/>
    <w:next w:val="1"/>
    <w:autoRedefine/>
    <w:qFormat/>
    <w:uiPriority w:val="39"/>
    <w:pPr>
      <w:ind w:left="630"/>
      <w:jc w:val="left"/>
    </w:pPr>
    <w:rPr>
      <w:rFonts w:ascii="Times New Roman" w:hAnsi="Times New Roman" w:eastAsia="宋体" w:cs="Times New Roman"/>
      <w:sz w:val="18"/>
      <w:szCs w:val="18"/>
    </w:rPr>
  </w:style>
  <w:style w:type="paragraph" w:styleId="44">
    <w:name w:val="Subtitle"/>
    <w:basedOn w:val="1"/>
    <w:link w:val="105"/>
    <w:autoRedefine/>
    <w:qFormat/>
    <w:uiPriority w:val="0"/>
    <w:pPr>
      <w:spacing w:line="312" w:lineRule="auto"/>
      <w:jc w:val="center"/>
      <w:outlineLvl w:val="1"/>
    </w:pPr>
    <w:rPr>
      <w:rFonts w:ascii="Arial" w:hAnsi="Arial"/>
      <w:b/>
      <w:kern w:val="28"/>
      <w:sz w:val="32"/>
    </w:rPr>
  </w:style>
  <w:style w:type="paragraph" w:styleId="45">
    <w:name w:val="List"/>
    <w:basedOn w:val="1"/>
    <w:autoRedefine/>
    <w:qFormat/>
    <w:uiPriority w:val="0"/>
    <w:pPr>
      <w:widowControl/>
      <w:ind w:left="200" w:hanging="200" w:hangingChars="200"/>
      <w:jc w:val="left"/>
    </w:pPr>
    <w:rPr>
      <w:rFonts w:ascii="宋体" w:hAnsi="宋体" w:eastAsia="宋体" w:cs="宋体"/>
      <w:kern w:val="0"/>
      <w:sz w:val="24"/>
      <w:szCs w:val="24"/>
    </w:rPr>
  </w:style>
  <w:style w:type="paragraph" w:styleId="46">
    <w:name w:val="toc 6"/>
    <w:basedOn w:val="1"/>
    <w:next w:val="1"/>
    <w:autoRedefine/>
    <w:qFormat/>
    <w:uiPriority w:val="39"/>
    <w:pPr>
      <w:ind w:left="1050"/>
      <w:jc w:val="left"/>
    </w:pPr>
    <w:rPr>
      <w:rFonts w:ascii="Times New Roman" w:hAnsi="Times New Roman" w:eastAsia="宋体" w:cs="Times New Roman"/>
      <w:sz w:val="18"/>
      <w:szCs w:val="18"/>
    </w:rPr>
  </w:style>
  <w:style w:type="paragraph" w:styleId="47">
    <w:name w:val="Body Text Indent 3"/>
    <w:basedOn w:val="1"/>
    <w:link w:val="106"/>
    <w:autoRedefine/>
    <w:unhideWhenUsed/>
    <w:qFormat/>
    <w:uiPriority w:val="0"/>
    <w:pPr>
      <w:ind w:left="420" w:leftChars="200"/>
    </w:pPr>
    <w:rPr>
      <w:sz w:val="16"/>
    </w:rPr>
  </w:style>
  <w:style w:type="paragraph" w:styleId="48">
    <w:name w:val="toc 2"/>
    <w:basedOn w:val="1"/>
    <w:next w:val="1"/>
    <w:autoRedefine/>
    <w:qFormat/>
    <w:uiPriority w:val="39"/>
    <w:pPr>
      <w:ind w:left="210"/>
      <w:jc w:val="left"/>
    </w:pPr>
    <w:rPr>
      <w:rFonts w:ascii="Times New Roman" w:hAnsi="Times New Roman" w:eastAsia="宋体" w:cs="Times New Roman"/>
      <w:smallCaps/>
      <w:sz w:val="20"/>
      <w:szCs w:val="20"/>
    </w:rPr>
  </w:style>
  <w:style w:type="paragraph" w:styleId="49">
    <w:name w:val="toc 9"/>
    <w:basedOn w:val="1"/>
    <w:next w:val="1"/>
    <w:autoRedefine/>
    <w:qFormat/>
    <w:uiPriority w:val="39"/>
    <w:pPr>
      <w:ind w:left="1680"/>
      <w:jc w:val="left"/>
    </w:pPr>
    <w:rPr>
      <w:rFonts w:ascii="Times New Roman" w:hAnsi="Times New Roman" w:eastAsia="宋体" w:cs="Times New Roman"/>
      <w:sz w:val="18"/>
      <w:szCs w:val="18"/>
    </w:rPr>
  </w:style>
  <w:style w:type="paragraph" w:styleId="50">
    <w:name w:val="Body Text 2"/>
    <w:basedOn w:val="1"/>
    <w:link w:val="107"/>
    <w:autoRedefine/>
    <w:unhideWhenUsed/>
    <w:qFormat/>
    <w:uiPriority w:val="0"/>
    <w:pPr>
      <w:spacing w:line="480" w:lineRule="auto"/>
    </w:pPr>
  </w:style>
  <w:style w:type="paragraph" w:styleId="51">
    <w:name w:val="HTML Preformatted"/>
    <w:basedOn w:val="1"/>
    <w:link w:val="108"/>
    <w:autoRedefine/>
    <w:unhideWhenUsed/>
    <w:qFormat/>
    <w:uiPriority w:val="0"/>
    <w:rPr>
      <w:rFonts w:ascii="Courier New" w:hAnsi="Courier New"/>
      <w:sz w:val="20"/>
    </w:rPr>
  </w:style>
  <w:style w:type="paragraph" w:styleId="52">
    <w:name w:val="index 1"/>
    <w:basedOn w:val="14"/>
    <w:next w:val="14"/>
    <w:autoRedefine/>
    <w:qFormat/>
    <w:uiPriority w:val="0"/>
    <w:pPr>
      <w:spacing w:line="500" w:lineRule="exact"/>
      <w:ind w:firstLine="105" w:firstLineChars="50"/>
      <w:jc w:val="center"/>
    </w:pPr>
  </w:style>
  <w:style w:type="paragraph" w:styleId="53">
    <w:name w:val="index 2"/>
    <w:basedOn w:val="14"/>
    <w:next w:val="14"/>
    <w:autoRedefine/>
    <w:semiHidden/>
    <w:qFormat/>
    <w:uiPriority w:val="0"/>
    <w:pPr>
      <w:ind w:left="200"/>
    </w:pPr>
  </w:style>
  <w:style w:type="paragraph" w:styleId="54">
    <w:name w:val="Title"/>
    <w:basedOn w:val="1"/>
    <w:link w:val="110"/>
    <w:autoRedefine/>
    <w:qFormat/>
    <w:uiPriority w:val="10"/>
    <w:pPr>
      <w:jc w:val="center"/>
      <w:outlineLvl w:val="0"/>
    </w:pPr>
    <w:rPr>
      <w:rFonts w:ascii="Arial" w:hAnsi="Arial"/>
      <w:b/>
      <w:sz w:val="32"/>
    </w:rPr>
  </w:style>
  <w:style w:type="paragraph" w:styleId="55">
    <w:name w:val="annotation subject"/>
    <w:basedOn w:val="22"/>
    <w:next w:val="22"/>
    <w:link w:val="111"/>
    <w:autoRedefine/>
    <w:unhideWhenUsed/>
    <w:qFormat/>
    <w:uiPriority w:val="0"/>
    <w:rPr>
      <w:b/>
    </w:rPr>
  </w:style>
  <w:style w:type="paragraph" w:styleId="56">
    <w:name w:val="Body Text First Indent"/>
    <w:basedOn w:val="24"/>
    <w:next w:val="1"/>
    <w:link w:val="112"/>
    <w:autoRedefine/>
    <w:unhideWhenUsed/>
    <w:qFormat/>
    <w:uiPriority w:val="0"/>
    <w:pPr>
      <w:adjustRightInd w:val="0"/>
      <w:snapToGrid w:val="0"/>
      <w:spacing w:beforeLines="50" w:after="0" w:line="360" w:lineRule="auto"/>
      <w:ind w:firstLine="200" w:firstLineChars="200"/>
    </w:pPr>
    <w:rPr>
      <w:rFonts w:ascii="Times New Roman" w:hAnsi="Times New Roman" w:eastAsia="宋体" w:cs="Times New Roman"/>
      <w:sz w:val="24"/>
      <w:szCs w:val="20"/>
    </w:rPr>
  </w:style>
  <w:style w:type="table" w:styleId="58">
    <w:name w:val="Table Grid"/>
    <w:basedOn w:val="5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59">
    <w:name w:val="Table List 4"/>
    <w:basedOn w:val="57"/>
    <w:autoRedefine/>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tcBorders>
        <w:top w:val="single" w:color="000000" w:sz="12" w:space="0"/>
        <w:left w:val="single" w:color="000000" w:sz="12" w:space="0"/>
        <w:bottom w:val="single" w:color="000000" w:sz="12" w:space="0"/>
        <w:right w:val="single" w:color="000000" w:sz="12" w:space="0"/>
      </w:tcBorders>
    </w:tcPr>
    <w:tblStylePr w:type="firstRow">
      <w:rPr>
        <w:b/>
        <w:bCs/>
        <w:color w:val="FFFFFF"/>
      </w:rPr>
      <w:tblPr/>
      <w:tcPr>
        <w:tcBorders>
          <w:top w:val="nil"/>
          <w:left w:val="nil"/>
          <w:bottom w:val="single" w:color="000000" w:sz="12" w:space="0"/>
          <w:right w:val="nil"/>
          <w:tl2br w:val="nil"/>
          <w:tr2bl w:val="nil"/>
        </w:tcBorders>
        <w:shd w:val="solid" w:color="808080" w:fill="FFFFFF"/>
      </w:tcPr>
    </w:tblStylePr>
  </w:style>
  <w:style w:type="character" w:styleId="61">
    <w:name w:val="Strong"/>
    <w:autoRedefine/>
    <w:qFormat/>
    <w:uiPriority w:val="0"/>
    <w:rPr>
      <w:b/>
      <w:bCs/>
    </w:rPr>
  </w:style>
  <w:style w:type="character" w:styleId="62">
    <w:name w:val="page number"/>
    <w:basedOn w:val="60"/>
    <w:autoRedefine/>
    <w:qFormat/>
    <w:uiPriority w:val="0"/>
  </w:style>
  <w:style w:type="character" w:styleId="63">
    <w:name w:val="FollowedHyperlink"/>
    <w:basedOn w:val="60"/>
    <w:autoRedefine/>
    <w:unhideWhenUsed/>
    <w:qFormat/>
    <w:uiPriority w:val="0"/>
    <w:rPr>
      <w:color w:val="2B2B2B"/>
      <w:u w:val="none"/>
    </w:rPr>
  </w:style>
  <w:style w:type="character" w:styleId="64">
    <w:name w:val="Emphasis"/>
    <w:basedOn w:val="60"/>
    <w:autoRedefine/>
    <w:qFormat/>
    <w:uiPriority w:val="20"/>
  </w:style>
  <w:style w:type="character" w:styleId="65">
    <w:name w:val="HTML Definition"/>
    <w:basedOn w:val="60"/>
    <w:autoRedefine/>
    <w:unhideWhenUsed/>
    <w:qFormat/>
    <w:uiPriority w:val="0"/>
  </w:style>
  <w:style w:type="character" w:styleId="66">
    <w:name w:val="HTML Acronym"/>
    <w:basedOn w:val="60"/>
    <w:autoRedefine/>
    <w:qFormat/>
    <w:uiPriority w:val="0"/>
  </w:style>
  <w:style w:type="character" w:styleId="67">
    <w:name w:val="HTML Variable"/>
    <w:basedOn w:val="60"/>
    <w:autoRedefine/>
    <w:unhideWhenUsed/>
    <w:qFormat/>
    <w:uiPriority w:val="0"/>
  </w:style>
  <w:style w:type="character" w:styleId="68">
    <w:name w:val="Hyperlink"/>
    <w:autoRedefine/>
    <w:qFormat/>
    <w:uiPriority w:val="99"/>
    <w:rPr>
      <w:color w:val="2B2B2B"/>
      <w:u w:val="none"/>
    </w:rPr>
  </w:style>
  <w:style w:type="character" w:styleId="69">
    <w:name w:val="HTML Code"/>
    <w:basedOn w:val="60"/>
    <w:autoRedefine/>
    <w:unhideWhenUsed/>
    <w:qFormat/>
    <w:uiPriority w:val="0"/>
    <w:rPr>
      <w:rFonts w:ascii="Courier New" w:hAnsi="Courier New" w:eastAsia="Times New Roman" w:cs="Times New Roman"/>
      <w:sz w:val="20"/>
    </w:rPr>
  </w:style>
  <w:style w:type="character" w:styleId="70">
    <w:name w:val="annotation reference"/>
    <w:basedOn w:val="60"/>
    <w:autoRedefine/>
    <w:unhideWhenUsed/>
    <w:qFormat/>
    <w:uiPriority w:val="0"/>
    <w:rPr>
      <w:sz w:val="21"/>
      <w:szCs w:val="21"/>
    </w:rPr>
  </w:style>
  <w:style w:type="character" w:styleId="71">
    <w:name w:val="HTML Cite"/>
    <w:basedOn w:val="60"/>
    <w:autoRedefine/>
    <w:unhideWhenUsed/>
    <w:qFormat/>
    <w:uiPriority w:val="0"/>
  </w:style>
  <w:style w:type="character" w:styleId="72">
    <w:name w:val="HTML Keyboard"/>
    <w:basedOn w:val="60"/>
    <w:autoRedefine/>
    <w:unhideWhenUsed/>
    <w:qFormat/>
    <w:uiPriority w:val="0"/>
    <w:rPr>
      <w:rFonts w:hint="default" w:ascii="monospace" w:hAnsi="monospace" w:eastAsia="monospace" w:cs="monospace"/>
      <w:sz w:val="21"/>
      <w:szCs w:val="21"/>
    </w:rPr>
  </w:style>
  <w:style w:type="character" w:styleId="73">
    <w:name w:val="HTML Sample"/>
    <w:basedOn w:val="60"/>
    <w:autoRedefine/>
    <w:unhideWhenUsed/>
    <w:qFormat/>
    <w:uiPriority w:val="0"/>
    <w:rPr>
      <w:rFonts w:hint="default" w:ascii="monospace" w:hAnsi="monospace" w:eastAsia="monospace" w:cs="monospace"/>
      <w:sz w:val="21"/>
      <w:szCs w:val="21"/>
    </w:rPr>
  </w:style>
  <w:style w:type="paragraph" w:customStyle="1" w:styleId="74">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5">
    <w:name w:val="Default1"/>
    <w:basedOn w:val="76"/>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76">
    <w:name w:val="常用正文样式"/>
    <w:autoRedefine/>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77">
    <w:name w:val="Default"/>
    <w:basedOn w:val="78"/>
    <w:link w:val="143"/>
    <w:autoRedefine/>
    <w:qFormat/>
    <w:uiPriority w:val="0"/>
    <w:pPr>
      <w:widowControl w:val="0"/>
      <w:autoSpaceDE w:val="0"/>
      <w:autoSpaceDN w:val="0"/>
      <w:adjustRightInd w:val="0"/>
    </w:pPr>
    <w:rPr>
      <w:rFonts w:ascii="宋体" w:hAnsiTheme="minorHAnsi" w:eastAsiaTheme="minorEastAsia" w:cstheme="minorBidi"/>
      <w:color w:val="000000"/>
      <w:kern w:val="2"/>
      <w:sz w:val="24"/>
      <w:szCs w:val="24"/>
      <w:lang w:val="en-US" w:eastAsia="zh-CN" w:bidi="ar-SA"/>
    </w:rPr>
  </w:style>
  <w:style w:type="paragraph" w:customStyle="1" w:styleId="78">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79">
    <w:name w:val="标题 3 Char"/>
    <w:basedOn w:val="60"/>
    <w:autoRedefine/>
    <w:qFormat/>
    <w:uiPriority w:val="0"/>
    <w:rPr>
      <w:b/>
      <w:bCs/>
      <w:sz w:val="32"/>
      <w:szCs w:val="32"/>
    </w:rPr>
  </w:style>
  <w:style w:type="paragraph" w:customStyle="1" w:styleId="80">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Cs w:val="21"/>
    </w:rPr>
  </w:style>
  <w:style w:type="character" w:customStyle="1" w:styleId="81">
    <w:name w:val="正文文本缩进 字符"/>
    <w:link w:val="25"/>
    <w:autoRedefine/>
    <w:qFormat/>
    <w:uiPriority w:val="99"/>
  </w:style>
  <w:style w:type="character" w:customStyle="1" w:styleId="82">
    <w:name w:val="标题 1 字符"/>
    <w:basedOn w:val="60"/>
    <w:link w:val="2"/>
    <w:autoRedefine/>
    <w:qFormat/>
    <w:uiPriority w:val="0"/>
    <w:rPr>
      <w:b/>
      <w:bCs/>
      <w:kern w:val="44"/>
      <w:sz w:val="44"/>
      <w:szCs w:val="44"/>
    </w:rPr>
  </w:style>
  <w:style w:type="character" w:customStyle="1" w:styleId="83">
    <w:name w:val="标题 2 字符1"/>
    <w:basedOn w:val="60"/>
    <w:link w:val="4"/>
    <w:autoRedefine/>
    <w:qFormat/>
    <w:uiPriority w:val="0"/>
    <w:rPr>
      <w:rFonts w:hint="default" w:ascii="Cambria" w:hAnsi="Cambria" w:eastAsia="宋体" w:cs="Times New Roman"/>
      <w:b/>
      <w:bCs/>
      <w:kern w:val="2"/>
      <w:sz w:val="32"/>
      <w:szCs w:val="32"/>
    </w:rPr>
  </w:style>
  <w:style w:type="character" w:customStyle="1" w:styleId="84">
    <w:name w:val="标题 3 字符"/>
    <w:link w:val="5"/>
    <w:autoRedefine/>
    <w:qFormat/>
    <w:uiPriority w:val="0"/>
    <w:rPr>
      <w:rFonts w:ascii="Times New Roman" w:hAnsi="Times New Roman" w:eastAsia="宋体" w:cs="Times New Roman"/>
      <w:b/>
      <w:bCs/>
      <w:sz w:val="32"/>
      <w:szCs w:val="32"/>
      <w:lang w:val="zh-CN" w:eastAsia="zh-CN"/>
    </w:rPr>
  </w:style>
  <w:style w:type="character" w:customStyle="1" w:styleId="85">
    <w:name w:val="标题 4 字符"/>
    <w:basedOn w:val="60"/>
    <w:link w:val="6"/>
    <w:autoRedefine/>
    <w:qFormat/>
    <w:uiPriority w:val="0"/>
    <w:rPr>
      <w:rFonts w:hint="default" w:ascii="Cambria" w:hAnsi="Cambria" w:eastAsia="宋体" w:cs="Times New Roman"/>
      <w:b/>
      <w:bCs/>
      <w:kern w:val="2"/>
      <w:sz w:val="28"/>
      <w:szCs w:val="28"/>
    </w:rPr>
  </w:style>
  <w:style w:type="character" w:customStyle="1" w:styleId="86">
    <w:name w:val="标题 5 字符"/>
    <w:basedOn w:val="60"/>
    <w:link w:val="7"/>
    <w:autoRedefine/>
    <w:qFormat/>
    <w:uiPriority w:val="0"/>
    <w:rPr>
      <w:b/>
      <w:bCs/>
      <w:kern w:val="2"/>
      <w:sz w:val="28"/>
      <w:szCs w:val="28"/>
    </w:rPr>
  </w:style>
  <w:style w:type="character" w:customStyle="1" w:styleId="87">
    <w:name w:val="标题 6 字符"/>
    <w:basedOn w:val="60"/>
    <w:link w:val="8"/>
    <w:autoRedefine/>
    <w:qFormat/>
    <w:uiPriority w:val="0"/>
    <w:rPr>
      <w:rFonts w:hint="default" w:ascii="Cambria" w:hAnsi="Cambria" w:eastAsia="宋体" w:cs="Times New Roman"/>
      <w:b/>
      <w:bCs/>
      <w:kern w:val="2"/>
      <w:sz w:val="24"/>
      <w:szCs w:val="24"/>
    </w:rPr>
  </w:style>
  <w:style w:type="character" w:customStyle="1" w:styleId="88">
    <w:name w:val="标题 7 字符"/>
    <w:basedOn w:val="60"/>
    <w:link w:val="9"/>
    <w:autoRedefine/>
    <w:qFormat/>
    <w:uiPriority w:val="0"/>
    <w:rPr>
      <w:b/>
      <w:bCs/>
      <w:kern w:val="2"/>
      <w:sz w:val="24"/>
      <w:szCs w:val="24"/>
    </w:rPr>
  </w:style>
  <w:style w:type="character" w:customStyle="1" w:styleId="89">
    <w:name w:val="标题 8 字符"/>
    <w:basedOn w:val="60"/>
    <w:link w:val="10"/>
    <w:autoRedefine/>
    <w:qFormat/>
    <w:uiPriority w:val="0"/>
    <w:rPr>
      <w:rFonts w:hint="default" w:ascii="Cambria" w:hAnsi="Cambria" w:eastAsia="宋体" w:cs="Times New Roman"/>
      <w:kern w:val="2"/>
      <w:sz w:val="24"/>
      <w:szCs w:val="24"/>
    </w:rPr>
  </w:style>
  <w:style w:type="character" w:customStyle="1" w:styleId="90">
    <w:name w:val="标题 9 字符"/>
    <w:basedOn w:val="60"/>
    <w:link w:val="11"/>
    <w:autoRedefine/>
    <w:qFormat/>
    <w:uiPriority w:val="0"/>
    <w:rPr>
      <w:rFonts w:hint="default" w:ascii="Cambria" w:hAnsi="Cambria" w:eastAsia="宋体" w:cs="Times New Roman"/>
      <w:kern w:val="2"/>
      <w:sz w:val="21"/>
      <w:szCs w:val="21"/>
    </w:rPr>
  </w:style>
  <w:style w:type="character" w:customStyle="1" w:styleId="91">
    <w:name w:val="注释标题 字符"/>
    <w:basedOn w:val="60"/>
    <w:link w:val="15"/>
    <w:autoRedefine/>
    <w:qFormat/>
    <w:uiPriority w:val="0"/>
    <w:rPr>
      <w:kern w:val="2"/>
      <w:sz w:val="21"/>
      <w:szCs w:val="21"/>
    </w:rPr>
  </w:style>
  <w:style w:type="character" w:customStyle="1" w:styleId="92">
    <w:name w:val="正文缩进 字符"/>
    <w:link w:val="17"/>
    <w:autoRedefine/>
    <w:qFormat/>
    <w:uiPriority w:val="0"/>
    <w:rPr>
      <w:rFonts w:eastAsia="黑体"/>
      <w:sz w:val="24"/>
      <w:szCs w:val="21"/>
    </w:rPr>
  </w:style>
  <w:style w:type="character" w:customStyle="1" w:styleId="93">
    <w:name w:val="题注 字符"/>
    <w:link w:val="18"/>
    <w:autoRedefine/>
    <w:qFormat/>
    <w:locked/>
    <w:uiPriority w:val="0"/>
    <w:rPr>
      <w:rFonts w:ascii="Times New Roman" w:hAnsi="Times New Roman" w:eastAsia="黑体"/>
      <w:sz w:val="24"/>
    </w:rPr>
  </w:style>
  <w:style w:type="character" w:customStyle="1" w:styleId="94">
    <w:name w:val="文档结构图 字符1"/>
    <w:basedOn w:val="60"/>
    <w:link w:val="20"/>
    <w:autoRedefine/>
    <w:qFormat/>
    <w:uiPriority w:val="0"/>
    <w:rPr>
      <w:kern w:val="2"/>
      <w:sz w:val="21"/>
      <w:szCs w:val="21"/>
      <w:shd w:val="clear" w:color="auto" w:fill="000080"/>
    </w:rPr>
  </w:style>
  <w:style w:type="character" w:customStyle="1" w:styleId="95">
    <w:name w:val="批注文字 字符"/>
    <w:link w:val="22"/>
    <w:autoRedefine/>
    <w:qFormat/>
    <w:uiPriority w:val="0"/>
    <w:rPr>
      <w:rFonts w:ascii="Calibri" w:hAnsi="Calibri" w:eastAsia="宋体" w:cs="Times New Roman"/>
    </w:rPr>
  </w:style>
  <w:style w:type="character" w:customStyle="1" w:styleId="96">
    <w:name w:val="正文文本 3 字符"/>
    <w:basedOn w:val="60"/>
    <w:link w:val="23"/>
    <w:autoRedefine/>
    <w:qFormat/>
    <w:uiPriority w:val="0"/>
    <w:rPr>
      <w:kern w:val="2"/>
      <w:sz w:val="16"/>
      <w:szCs w:val="16"/>
    </w:rPr>
  </w:style>
  <w:style w:type="character" w:customStyle="1" w:styleId="97">
    <w:name w:val="正文文本 字符1"/>
    <w:basedOn w:val="60"/>
    <w:link w:val="24"/>
    <w:autoRedefine/>
    <w:qFormat/>
    <w:uiPriority w:val="0"/>
    <w:rPr>
      <w:kern w:val="2"/>
      <w:sz w:val="21"/>
    </w:rPr>
  </w:style>
  <w:style w:type="character" w:customStyle="1" w:styleId="98">
    <w:name w:val="纯文本 字符2"/>
    <w:basedOn w:val="60"/>
    <w:link w:val="31"/>
    <w:autoRedefine/>
    <w:qFormat/>
    <w:uiPriority w:val="0"/>
    <w:rPr>
      <w:rFonts w:hint="eastAsia" w:ascii="宋体" w:hAnsi="Courier New" w:eastAsia="宋体" w:cs="宋体"/>
      <w:kern w:val="2"/>
      <w:sz w:val="21"/>
    </w:rPr>
  </w:style>
  <w:style w:type="character" w:customStyle="1" w:styleId="99">
    <w:name w:val="日期 字符"/>
    <w:basedOn w:val="60"/>
    <w:link w:val="33"/>
    <w:autoRedefine/>
    <w:qFormat/>
    <w:uiPriority w:val="0"/>
    <w:rPr>
      <w:kern w:val="2"/>
      <w:sz w:val="21"/>
      <w:szCs w:val="21"/>
    </w:rPr>
  </w:style>
  <w:style w:type="character" w:customStyle="1" w:styleId="100">
    <w:name w:val="正文文本缩进 2 字符"/>
    <w:basedOn w:val="60"/>
    <w:link w:val="34"/>
    <w:autoRedefine/>
    <w:qFormat/>
    <w:uiPriority w:val="0"/>
    <w:rPr>
      <w:kern w:val="2"/>
      <w:sz w:val="21"/>
      <w:szCs w:val="21"/>
    </w:rPr>
  </w:style>
  <w:style w:type="character" w:customStyle="1" w:styleId="101">
    <w:name w:val="批注框文本 字符1"/>
    <w:basedOn w:val="60"/>
    <w:link w:val="36"/>
    <w:autoRedefine/>
    <w:qFormat/>
    <w:uiPriority w:val="0"/>
    <w:rPr>
      <w:kern w:val="2"/>
      <w:sz w:val="18"/>
      <w:szCs w:val="18"/>
    </w:rPr>
  </w:style>
  <w:style w:type="character" w:customStyle="1" w:styleId="102">
    <w:name w:val="页脚 字符1"/>
    <w:basedOn w:val="60"/>
    <w:link w:val="37"/>
    <w:autoRedefine/>
    <w:qFormat/>
    <w:uiPriority w:val="0"/>
    <w:rPr>
      <w:kern w:val="2"/>
      <w:sz w:val="18"/>
      <w:szCs w:val="18"/>
    </w:rPr>
  </w:style>
  <w:style w:type="character" w:customStyle="1" w:styleId="103">
    <w:name w:val="页眉 字符"/>
    <w:basedOn w:val="60"/>
    <w:link w:val="40"/>
    <w:autoRedefine/>
    <w:qFormat/>
    <w:uiPriority w:val="99"/>
    <w:rPr>
      <w:sz w:val="18"/>
      <w:szCs w:val="18"/>
    </w:rPr>
  </w:style>
  <w:style w:type="character" w:customStyle="1" w:styleId="104">
    <w:name w:val="目录 1 字符"/>
    <w:basedOn w:val="60"/>
    <w:link w:val="42"/>
    <w:autoRedefine/>
    <w:qFormat/>
    <w:uiPriority w:val="0"/>
    <w:rPr>
      <w:b/>
      <w:bCs/>
      <w:caps/>
      <w:kern w:val="2"/>
    </w:rPr>
  </w:style>
  <w:style w:type="character" w:customStyle="1" w:styleId="105">
    <w:name w:val="副标题 字符"/>
    <w:basedOn w:val="60"/>
    <w:link w:val="44"/>
    <w:autoRedefine/>
    <w:qFormat/>
    <w:uiPriority w:val="0"/>
    <w:rPr>
      <w:rFonts w:hint="default" w:ascii="Cambria" w:hAnsi="Cambria" w:eastAsia="Cambria" w:cs="Cambria"/>
      <w:b/>
      <w:bCs/>
      <w:kern w:val="28"/>
      <w:sz w:val="32"/>
      <w:szCs w:val="32"/>
    </w:rPr>
  </w:style>
  <w:style w:type="character" w:customStyle="1" w:styleId="106">
    <w:name w:val="正文文本缩进 3 字符"/>
    <w:basedOn w:val="60"/>
    <w:link w:val="47"/>
    <w:autoRedefine/>
    <w:qFormat/>
    <w:uiPriority w:val="0"/>
    <w:rPr>
      <w:kern w:val="2"/>
      <w:sz w:val="16"/>
      <w:szCs w:val="16"/>
    </w:rPr>
  </w:style>
  <w:style w:type="character" w:customStyle="1" w:styleId="107">
    <w:name w:val="正文文本 2 字符"/>
    <w:basedOn w:val="60"/>
    <w:link w:val="50"/>
    <w:autoRedefine/>
    <w:qFormat/>
    <w:uiPriority w:val="0"/>
    <w:rPr>
      <w:kern w:val="2"/>
      <w:sz w:val="21"/>
      <w:szCs w:val="21"/>
    </w:rPr>
  </w:style>
  <w:style w:type="character" w:customStyle="1" w:styleId="108">
    <w:name w:val="HTML 预设格式 字符"/>
    <w:basedOn w:val="60"/>
    <w:link w:val="51"/>
    <w:autoRedefine/>
    <w:qFormat/>
    <w:uiPriority w:val="0"/>
    <w:rPr>
      <w:rFonts w:hint="eastAsia" w:ascii="宋体" w:hAnsi="宋体" w:eastAsia="宋体" w:cs="宋体"/>
      <w:sz w:val="24"/>
      <w:szCs w:val="24"/>
    </w:rPr>
  </w:style>
  <w:style w:type="character" w:customStyle="1" w:styleId="109">
    <w:name w:val="普通(网站) 字符"/>
    <w:link w:val="38"/>
    <w:autoRedefine/>
    <w:qFormat/>
    <w:locked/>
    <w:uiPriority w:val="0"/>
    <w:rPr>
      <w:rFonts w:ascii="宋体" w:hAnsi="宋体" w:eastAsia="宋体"/>
      <w:sz w:val="24"/>
    </w:rPr>
  </w:style>
  <w:style w:type="character" w:customStyle="1" w:styleId="110">
    <w:name w:val="标题 字符"/>
    <w:basedOn w:val="60"/>
    <w:link w:val="54"/>
    <w:autoRedefine/>
    <w:qFormat/>
    <w:uiPriority w:val="0"/>
    <w:rPr>
      <w:rFonts w:hint="default" w:ascii="Cambria" w:hAnsi="Cambria" w:eastAsia="Cambria" w:cs="Times New Roman"/>
      <w:b/>
      <w:bCs/>
      <w:kern w:val="2"/>
      <w:sz w:val="32"/>
      <w:szCs w:val="32"/>
    </w:rPr>
  </w:style>
  <w:style w:type="character" w:customStyle="1" w:styleId="111">
    <w:name w:val="批注主题 字符"/>
    <w:basedOn w:val="60"/>
    <w:link w:val="55"/>
    <w:autoRedefine/>
    <w:qFormat/>
    <w:uiPriority w:val="0"/>
    <w:rPr>
      <w:b/>
      <w:bCs/>
      <w:kern w:val="2"/>
      <w:sz w:val="21"/>
    </w:rPr>
  </w:style>
  <w:style w:type="character" w:customStyle="1" w:styleId="112">
    <w:name w:val="正文首行缩进 字符1"/>
    <w:basedOn w:val="60"/>
    <w:link w:val="56"/>
    <w:autoRedefine/>
    <w:qFormat/>
    <w:uiPriority w:val="0"/>
    <w:rPr>
      <w:kern w:val="2"/>
      <w:sz w:val="24"/>
    </w:rPr>
  </w:style>
  <w:style w:type="character" w:customStyle="1" w:styleId="113">
    <w:name w:val="正文首行缩进 2 字符"/>
    <w:link w:val="35"/>
    <w:autoRedefine/>
    <w:qFormat/>
    <w:uiPriority w:val="99"/>
    <w:rPr>
      <w:kern w:val="2"/>
      <w:sz w:val="21"/>
      <w:szCs w:val="21"/>
    </w:rPr>
  </w:style>
  <w:style w:type="paragraph" w:customStyle="1" w:styleId="114">
    <w:name w:val="表格文字"/>
    <w:basedOn w:val="31"/>
    <w:next w:val="1"/>
    <w:link w:val="115"/>
    <w:autoRedefine/>
    <w:qFormat/>
    <w:uiPriority w:val="0"/>
    <w:pPr>
      <w:jc w:val="center"/>
      <w:textAlignment w:val="center"/>
    </w:pPr>
  </w:style>
  <w:style w:type="character" w:customStyle="1" w:styleId="115">
    <w:name w:val="表格文字 Char"/>
    <w:link w:val="114"/>
    <w:autoRedefine/>
    <w:qFormat/>
    <w:uiPriority w:val="0"/>
    <w:rPr>
      <w:rFonts w:eastAsia="宋体"/>
    </w:rPr>
  </w:style>
  <w:style w:type="character" w:customStyle="1" w:styleId="116">
    <w:name w:val="标题 2 Char2"/>
    <w:basedOn w:val="60"/>
    <w:autoRedefine/>
    <w:qFormat/>
    <w:uiPriority w:val="0"/>
    <w:rPr>
      <w:b/>
      <w:kern w:val="2"/>
      <w:sz w:val="32"/>
    </w:rPr>
  </w:style>
  <w:style w:type="character" w:customStyle="1" w:styleId="117">
    <w:name w:val="标题 3 Char1"/>
    <w:basedOn w:val="60"/>
    <w:autoRedefine/>
    <w:qFormat/>
    <w:uiPriority w:val="0"/>
    <w:rPr>
      <w:b/>
      <w:bCs/>
      <w:kern w:val="2"/>
      <w:sz w:val="32"/>
      <w:szCs w:val="32"/>
    </w:rPr>
  </w:style>
  <w:style w:type="character" w:customStyle="1" w:styleId="118">
    <w:name w:val="标题 4 Char1"/>
    <w:basedOn w:val="60"/>
    <w:autoRedefine/>
    <w:qFormat/>
    <w:uiPriority w:val="0"/>
    <w:rPr>
      <w:rFonts w:hint="default" w:ascii="Cambria" w:hAnsi="Cambria" w:eastAsia="Cambria" w:cs="Cambria"/>
      <w:b/>
      <w:bCs/>
      <w:sz w:val="28"/>
      <w:szCs w:val="28"/>
    </w:rPr>
  </w:style>
  <w:style w:type="character" w:customStyle="1" w:styleId="119">
    <w:name w:val="标题 5 Char1"/>
    <w:basedOn w:val="60"/>
    <w:autoRedefine/>
    <w:qFormat/>
    <w:uiPriority w:val="0"/>
    <w:rPr>
      <w:b/>
      <w:bCs/>
      <w:kern w:val="2"/>
      <w:sz w:val="28"/>
      <w:szCs w:val="28"/>
    </w:rPr>
  </w:style>
  <w:style w:type="character" w:customStyle="1" w:styleId="120">
    <w:name w:val="标题 6 Char1"/>
    <w:basedOn w:val="60"/>
    <w:autoRedefine/>
    <w:qFormat/>
    <w:uiPriority w:val="0"/>
    <w:rPr>
      <w:rFonts w:hint="default" w:ascii="Cambria" w:hAnsi="Cambria" w:eastAsia="Cambria" w:cs="Cambria"/>
      <w:b/>
      <w:bCs/>
      <w:kern w:val="2"/>
      <w:sz w:val="24"/>
      <w:szCs w:val="24"/>
    </w:rPr>
  </w:style>
  <w:style w:type="character" w:customStyle="1" w:styleId="121">
    <w:name w:val="标题 7 Char1"/>
    <w:basedOn w:val="60"/>
    <w:autoRedefine/>
    <w:qFormat/>
    <w:uiPriority w:val="0"/>
    <w:rPr>
      <w:rFonts w:hint="default" w:ascii="Calibri" w:hAnsi="Calibri" w:cs="Calibri"/>
      <w:b/>
      <w:bCs/>
      <w:kern w:val="2"/>
      <w:sz w:val="24"/>
      <w:szCs w:val="24"/>
    </w:rPr>
  </w:style>
  <w:style w:type="character" w:customStyle="1" w:styleId="122">
    <w:name w:val="标题 8 Char1"/>
    <w:basedOn w:val="60"/>
    <w:autoRedefine/>
    <w:qFormat/>
    <w:uiPriority w:val="0"/>
    <w:rPr>
      <w:rFonts w:hint="default" w:ascii="Cambria" w:hAnsi="Cambria" w:eastAsia="Cambria" w:cs="Cambria"/>
      <w:kern w:val="2"/>
      <w:sz w:val="24"/>
      <w:szCs w:val="24"/>
    </w:rPr>
  </w:style>
  <w:style w:type="character" w:customStyle="1" w:styleId="123">
    <w:name w:val="标题 9 Char1"/>
    <w:basedOn w:val="60"/>
    <w:autoRedefine/>
    <w:qFormat/>
    <w:uiPriority w:val="0"/>
    <w:rPr>
      <w:rFonts w:hint="default" w:ascii="Cambria" w:hAnsi="Cambria" w:eastAsia="Cambria" w:cs="Cambria"/>
      <w:kern w:val="2"/>
      <w:sz w:val="21"/>
      <w:szCs w:val="21"/>
    </w:rPr>
  </w:style>
  <w:style w:type="character" w:customStyle="1" w:styleId="124">
    <w:name w:val="正文文本 Char3"/>
    <w:basedOn w:val="60"/>
    <w:autoRedefine/>
    <w:qFormat/>
    <w:uiPriority w:val="0"/>
    <w:rPr>
      <w:kern w:val="2"/>
      <w:sz w:val="21"/>
      <w:szCs w:val="21"/>
    </w:rPr>
  </w:style>
  <w:style w:type="character" w:customStyle="1" w:styleId="125">
    <w:name w:val="正文首行缩进 Char2"/>
    <w:basedOn w:val="124"/>
    <w:autoRedefine/>
    <w:qFormat/>
    <w:uiPriority w:val="0"/>
    <w:rPr>
      <w:kern w:val="2"/>
      <w:sz w:val="21"/>
      <w:szCs w:val="21"/>
    </w:rPr>
  </w:style>
  <w:style w:type="character" w:customStyle="1" w:styleId="126">
    <w:name w:val="题注 Char1"/>
    <w:basedOn w:val="60"/>
    <w:autoRedefine/>
    <w:qFormat/>
    <w:uiPriority w:val="0"/>
    <w:rPr>
      <w:rFonts w:hint="eastAsia" w:ascii="黑体" w:hAnsi="宋体" w:eastAsia="黑体" w:cs="黑体"/>
      <w:kern w:val="2"/>
      <w:sz w:val="24"/>
    </w:rPr>
  </w:style>
  <w:style w:type="character" w:customStyle="1" w:styleId="127">
    <w:name w:val="文档结构图 Char2"/>
    <w:basedOn w:val="60"/>
    <w:autoRedefine/>
    <w:qFormat/>
    <w:uiPriority w:val="0"/>
    <w:rPr>
      <w:rFonts w:hint="eastAsia" w:ascii="宋体" w:hAnsi="宋体" w:eastAsia="宋体" w:cs="宋体"/>
      <w:kern w:val="2"/>
      <w:sz w:val="18"/>
      <w:szCs w:val="18"/>
    </w:rPr>
  </w:style>
  <w:style w:type="character" w:customStyle="1" w:styleId="128">
    <w:name w:val="批注文字 Char3"/>
    <w:basedOn w:val="60"/>
    <w:autoRedefine/>
    <w:qFormat/>
    <w:uiPriority w:val="0"/>
    <w:rPr>
      <w:kern w:val="2"/>
      <w:sz w:val="21"/>
    </w:rPr>
  </w:style>
  <w:style w:type="character" w:customStyle="1" w:styleId="129">
    <w:name w:val="正文文本缩进 Char"/>
    <w:basedOn w:val="60"/>
    <w:autoRedefine/>
    <w:qFormat/>
    <w:uiPriority w:val="0"/>
    <w:rPr>
      <w:kern w:val="2"/>
      <w:sz w:val="21"/>
    </w:rPr>
  </w:style>
  <w:style w:type="character" w:customStyle="1" w:styleId="130">
    <w:name w:val="纯文本 Char2"/>
    <w:basedOn w:val="60"/>
    <w:autoRedefine/>
    <w:qFormat/>
    <w:uiPriority w:val="0"/>
    <w:rPr>
      <w:rFonts w:hint="eastAsia" w:ascii="宋体" w:hAnsi="Courier New" w:eastAsia="宋体" w:cs="Courier New"/>
      <w:kern w:val="2"/>
      <w:sz w:val="21"/>
      <w:szCs w:val="21"/>
    </w:rPr>
  </w:style>
  <w:style w:type="character" w:customStyle="1" w:styleId="131">
    <w:name w:val="正文文本缩进 2 Char2"/>
    <w:basedOn w:val="60"/>
    <w:autoRedefine/>
    <w:qFormat/>
    <w:uiPriority w:val="0"/>
    <w:rPr>
      <w:kern w:val="2"/>
      <w:sz w:val="21"/>
      <w:szCs w:val="21"/>
    </w:rPr>
  </w:style>
  <w:style w:type="character" w:customStyle="1" w:styleId="132">
    <w:name w:val="批注框文本 Char2"/>
    <w:basedOn w:val="60"/>
    <w:autoRedefine/>
    <w:qFormat/>
    <w:uiPriority w:val="0"/>
    <w:rPr>
      <w:kern w:val="2"/>
      <w:sz w:val="18"/>
      <w:szCs w:val="18"/>
    </w:rPr>
  </w:style>
  <w:style w:type="character" w:customStyle="1" w:styleId="133">
    <w:name w:val="页脚 Char1"/>
    <w:basedOn w:val="60"/>
    <w:autoRedefine/>
    <w:qFormat/>
    <w:uiPriority w:val="99"/>
    <w:rPr>
      <w:kern w:val="2"/>
      <w:sz w:val="18"/>
    </w:rPr>
  </w:style>
  <w:style w:type="character" w:customStyle="1" w:styleId="134">
    <w:name w:val="页眉 Char1"/>
    <w:basedOn w:val="60"/>
    <w:autoRedefine/>
    <w:qFormat/>
    <w:uiPriority w:val="0"/>
    <w:rPr>
      <w:kern w:val="2"/>
      <w:sz w:val="18"/>
      <w:szCs w:val="21"/>
    </w:rPr>
  </w:style>
  <w:style w:type="character" w:customStyle="1" w:styleId="135">
    <w:name w:val="正文文本缩进 3 Char1"/>
    <w:basedOn w:val="60"/>
    <w:autoRedefine/>
    <w:qFormat/>
    <w:uiPriority w:val="0"/>
    <w:rPr>
      <w:kern w:val="2"/>
      <w:sz w:val="16"/>
      <w:szCs w:val="16"/>
    </w:rPr>
  </w:style>
  <w:style w:type="character" w:customStyle="1" w:styleId="136">
    <w:name w:val="标题 Char"/>
    <w:basedOn w:val="60"/>
    <w:autoRedefine/>
    <w:qFormat/>
    <w:uiPriority w:val="10"/>
    <w:rPr>
      <w:b/>
      <w:bCs/>
      <w:kern w:val="2"/>
      <w:sz w:val="32"/>
      <w:szCs w:val="32"/>
    </w:rPr>
  </w:style>
  <w:style w:type="character" w:customStyle="1" w:styleId="137">
    <w:name w:val="批注主题 Char3"/>
    <w:basedOn w:val="138"/>
    <w:autoRedefine/>
    <w:qFormat/>
    <w:uiPriority w:val="0"/>
    <w:rPr>
      <w:b/>
      <w:bCs/>
      <w:kern w:val="2"/>
      <w:sz w:val="21"/>
      <w:szCs w:val="21"/>
    </w:rPr>
  </w:style>
  <w:style w:type="character" w:customStyle="1" w:styleId="138">
    <w:name w:val="批注文字 Char4"/>
    <w:basedOn w:val="60"/>
    <w:autoRedefine/>
    <w:qFormat/>
    <w:uiPriority w:val="0"/>
    <w:rPr>
      <w:kern w:val="2"/>
      <w:sz w:val="21"/>
      <w:szCs w:val="21"/>
    </w:rPr>
  </w:style>
  <w:style w:type="character" w:customStyle="1" w:styleId="139">
    <w:name w:val="正文首行缩进 2 Char1"/>
    <w:basedOn w:val="129"/>
    <w:autoRedefine/>
    <w:qFormat/>
    <w:uiPriority w:val="0"/>
    <w:rPr>
      <w:kern w:val="2"/>
      <w:sz w:val="21"/>
    </w:rPr>
  </w:style>
  <w:style w:type="character" w:customStyle="1" w:styleId="140">
    <w:name w:val="表格 Char"/>
    <w:link w:val="141"/>
    <w:autoRedefine/>
    <w:qFormat/>
    <w:locked/>
    <w:uiPriority w:val="0"/>
    <w:rPr>
      <w:rFonts w:ascii="宋体" w:hAnsi="宋体" w:eastAsia="宋体"/>
    </w:rPr>
  </w:style>
  <w:style w:type="paragraph" w:customStyle="1" w:styleId="141">
    <w:name w:val="表格"/>
    <w:basedOn w:val="1"/>
    <w:next w:val="1"/>
    <w:link w:val="140"/>
    <w:autoRedefine/>
    <w:qFormat/>
    <w:uiPriority w:val="99"/>
    <w:pPr>
      <w:adjustRightInd w:val="0"/>
      <w:snapToGrid w:val="0"/>
      <w:spacing w:beforeLines="10" w:line="256" w:lineRule="auto"/>
      <w:jc w:val="center"/>
    </w:pPr>
    <w:rPr>
      <w:rFonts w:ascii="宋体" w:hAnsi="宋体" w:eastAsia="宋体"/>
    </w:rPr>
  </w:style>
  <w:style w:type="character" w:customStyle="1" w:styleId="142">
    <w:name w:val="文档结构图 字符"/>
    <w:basedOn w:val="60"/>
    <w:autoRedefine/>
    <w:semiHidden/>
    <w:qFormat/>
    <w:uiPriority w:val="99"/>
    <w:rPr>
      <w:rFonts w:ascii="宋体" w:eastAsia="宋体"/>
      <w:sz w:val="18"/>
      <w:szCs w:val="18"/>
    </w:rPr>
  </w:style>
  <w:style w:type="character" w:customStyle="1" w:styleId="143">
    <w:name w:val="Default Char"/>
    <w:link w:val="77"/>
    <w:autoRedefine/>
    <w:qFormat/>
    <w:uiPriority w:val="99"/>
    <w:rPr>
      <w:rFonts w:ascii="宋体"/>
      <w:color w:val="000000"/>
      <w:sz w:val="24"/>
      <w:szCs w:val="24"/>
    </w:rPr>
  </w:style>
  <w:style w:type="paragraph" w:customStyle="1" w:styleId="144">
    <w:name w:val="4正文"/>
    <w:basedOn w:val="1"/>
    <w:autoRedefine/>
    <w:unhideWhenUsed/>
    <w:qFormat/>
    <w:uiPriority w:val="99"/>
    <w:pPr>
      <w:ind w:firstLine="480"/>
    </w:pPr>
    <w:rPr>
      <w:rFonts w:ascii="Calibri" w:hAnsi="Calibri" w:eastAsia="宋体" w:cs="Times New Roman"/>
    </w:rPr>
  </w:style>
  <w:style w:type="paragraph" w:customStyle="1" w:styleId="145">
    <w:name w:val="Table Paragraph"/>
    <w:basedOn w:val="1"/>
    <w:next w:val="17"/>
    <w:autoRedefine/>
    <w:qFormat/>
    <w:uiPriority w:val="0"/>
    <w:pPr>
      <w:jc w:val="left"/>
    </w:pPr>
    <w:rPr>
      <w:rFonts w:ascii="Calibri" w:hAnsi="Calibri" w:eastAsia="宋体" w:cs="Times New Roman"/>
      <w:kern w:val="0"/>
      <w:sz w:val="22"/>
      <w:lang w:eastAsia="en-US"/>
    </w:rPr>
  </w:style>
  <w:style w:type="paragraph" w:customStyle="1" w:styleId="146">
    <w:name w:val="列出段落1"/>
    <w:basedOn w:val="1"/>
    <w:autoRedefine/>
    <w:qFormat/>
    <w:uiPriority w:val="0"/>
    <w:pPr>
      <w:jc w:val="left"/>
    </w:pPr>
    <w:rPr>
      <w:rFonts w:ascii="Calibri" w:hAnsi="Calibri" w:eastAsia="宋体" w:cs="Times New Roman"/>
      <w:kern w:val="0"/>
      <w:sz w:val="22"/>
      <w:lang w:eastAsia="en-US"/>
    </w:rPr>
  </w:style>
  <w:style w:type="paragraph" w:customStyle="1" w:styleId="147">
    <w:name w:val="表头样式"/>
    <w:basedOn w:val="1"/>
    <w:link w:val="148"/>
    <w:autoRedefine/>
    <w:qFormat/>
    <w:uiPriority w:val="0"/>
    <w:pPr>
      <w:suppressAutoHyphens/>
      <w:adjustRightInd w:val="0"/>
      <w:snapToGrid w:val="0"/>
      <w:spacing w:line="240" w:lineRule="atLeast"/>
      <w:jc w:val="center"/>
    </w:pPr>
    <w:rPr>
      <w:rFonts w:ascii="Times New Roman" w:hAnsi="Times New Roman" w:eastAsia="宋体" w:cs="Times New Roman"/>
      <w:b/>
      <w:kern w:val="0"/>
      <w:szCs w:val="21"/>
      <w:lang w:val="zh-CN"/>
    </w:rPr>
  </w:style>
  <w:style w:type="character" w:customStyle="1" w:styleId="148">
    <w:name w:val="表头样式 Char"/>
    <w:link w:val="147"/>
    <w:autoRedefine/>
    <w:qFormat/>
    <w:uiPriority w:val="0"/>
    <w:rPr>
      <w:rFonts w:ascii="Times New Roman" w:hAnsi="Times New Roman" w:eastAsia="宋体" w:cs="Times New Roman"/>
      <w:b/>
      <w:kern w:val="0"/>
      <w:szCs w:val="21"/>
      <w:lang w:val="zh-CN" w:eastAsia="zh-CN"/>
    </w:rPr>
  </w:style>
  <w:style w:type="character" w:customStyle="1" w:styleId="149">
    <w:name w:val="段落(G) Char Char"/>
    <w:link w:val="150"/>
    <w:autoRedefine/>
    <w:qFormat/>
    <w:uiPriority w:val="0"/>
    <w:rPr>
      <w:rFonts w:ascii="Arial" w:hAnsi="Arial" w:eastAsia="宋体"/>
      <w:color w:val="000000"/>
      <w:kern w:val="24"/>
      <w:szCs w:val="24"/>
      <w:lang w:val="zh-CN"/>
    </w:rPr>
  </w:style>
  <w:style w:type="paragraph" w:customStyle="1" w:styleId="150">
    <w:name w:val="段落(G)"/>
    <w:basedOn w:val="1"/>
    <w:link w:val="149"/>
    <w:autoRedefine/>
    <w:qFormat/>
    <w:uiPriority w:val="0"/>
    <w:pPr>
      <w:tabs>
        <w:tab w:val="left" w:pos="1320"/>
      </w:tabs>
      <w:spacing w:line="360" w:lineRule="auto"/>
      <w:ind w:firstLine="480" w:firstLineChars="200"/>
    </w:pPr>
    <w:rPr>
      <w:rFonts w:ascii="Arial" w:hAnsi="Arial" w:eastAsia="宋体"/>
      <w:color w:val="000000"/>
      <w:kern w:val="24"/>
      <w:szCs w:val="24"/>
      <w:lang w:val="zh-CN"/>
    </w:rPr>
  </w:style>
  <w:style w:type="character" w:customStyle="1" w:styleId="151">
    <w:name w:val="表头1 Char"/>
    <w:link w:val="152"/>
    <w:autoRedefine/>
    <w:qFormat/>
    <w:uiPriority w:val="0"/>
    <w:rPr>
      <w:rFonts w:eastAsia="宋体"/>
      <w:b/>
      <w:color w:val="000000"/>
      <w:szCs w:val="21"/>
    </w:rPr>
  </w:style>
  <w:style w:type="paragraph" w:customStyle="1" w:styleId="152">
    <w:name w:val="表头1"/>
    <w:basedOn w:val="1"/>
    <w:link w:val="151"/>
    <w:autoRedefine/>
    <w:qFormat/>
    <w:uiPriority w:val="0"/>
    <w:pPr>
      <w:overflowPunct w:val="0"/>
      <w:autoSpaceDE w:val="0"/>
      <w:autoSpaceDN w:val="0"/>
      <w:adjustRightInd w:val="0"/>
      <w:snapToGrid w:val="0"/>
      <w:spacing w:line="360" w:lineRule="auto"/>
      <w:jc w:val="center"/>
      <w:textAlignment w:val="baseline"/>
    </w:pPr>
    <w:rPr>
      <w:rFonts w:eastAsia="宋体"/>
      <w:b/>
      <w:color w:val="000000"/>
      <w:szCs w:val="21"/>
    </w:rPr>
  </w:style>
  <w:style w:type="character" w:customStyle="1" w:styleId="153">
    <w:name w:val="页脚 字符"/>
    <w:basedOn w:val="60"/>
    <w:autoRedefine/>
    <w:qFormat/>
    <w:uiPriority w:val="99"/>
    <w:rPr>
      <w:sz w:val="18"/>
      <w:szCs w:val="18"/>
    </w:rPr>
  </w:style>
  <w:style w:type="character" w:customStyle="1" w:styleId="154">
    <w:name w:val="正文文本缩进 Char1"/>
    <w:basedOn w:val="60"/>
    <w:autoRedefine/>
    <w:semiHidden/>
    <w:qFormat/>
    <w:uiPriority w:val="99"/>
  </w:style>
  <w:style w:type="character" w:customStyle="1" w:styleId="155">
    <w:name w:val="表头 Char1"/>
    <w:link w:val="156"/>
    <w:autoRedefine/>
    <w:qFormat/>
    <w:uiPriority w:val="0"/>
    <w:rPr>
      <w:rFonts w:eastAsia="宋体"/>
      <w:b/>
      <w:color w:val="000000"/>
      <w:kern w:val="24"/>
      <w:szCs w:val="21"/>
    </w:rPr>
  </w:style>
  <w:style w:type="paragraph" w:customStyle="1" w:styleId="156">
    <w:name w:val="表头"/>
    <w:basedOn w:val="1"/>
    <w:link w:val="155"/>
    <w:autoRedefine/>
    <w:qFormat/>
    <w:uiPriority w:val="0"/>
    <w:pPr>
      <w:tabs>
        <w:tab w:val="left" w:pos="1021"/>
      </w:tabs>
      <w:adjustRightInd w:val="0"/>
      <w:spacing w:line="300" w:lineRule="auto"/>
      <w:jc w:val="center"/>
    </w:pPr>
    <w:rPr>
      <w:rFonts w:eastAsia="宋体"/>
      <w:b/>
      <w:color w:val="000000"/>
      <w:kern w:val="24"/>
      <w:szCs w:val="21"/>
    </w:rPr>
  </w:style>
  <w:style w:type="character" w:customStyle="1" w:styleId="157">
    <w:name w:val="批注框文本 字符"/>
    <w:basedOn w:val="60"/>
    <w:autoRedefine/>
    <w:semiHidden/>
    <w:qFormat/>
    <w:uiPriority w:val="99"/>
    <w:rPr>
      <w:sz w:val="18"/>
      <w:szCs w:val="18"/>
    </w:rPr>
  </w:style>
  <w:style w:type="character" w:customStyle="1" w:styleId="158">
    <w:name w:val="正文文本 字符"/>
    <w:basedOn w:val="60"/>
    <w:autoRedefine/>
    <w:qFormat/>
    <w:uiPriority w:val="99"/>
  </w:style>
  <w:style w:type="paragraph" w:customStyle="1" w:styleId="159">
    <w:name w:val="正文_32"/>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60">
    <w:name w:val="_Style 2"/>
    <w:autoRedefine/>
    <w:qFormat/>
    <w:uiPriority w:val="0"/>
    <w:pPr>
      <w:widowControl w:val="0"/>
      <w:spacing w:line="360" w:lineRule="exact"/>
      <w:jc w:val="center"/>
    </w:pPr>
    <w:rPr>
      <w:rFonts w:ascii="Calibri" w:hAnsi="Calibri" w:eastAsia="新宋体" w:cs="Times New Roman"/>
      <w:kern w:val="2"/>
      <w:sz w:val="21"/>
      <w:szCs w:val="22"/>
      <w:lang w:val="en-US" w:eastAsia="zh-CN" w:bidi="ar-SA"/>
    </w:rPr>
  </w:style>
  <w:style w:type="character" w:customStyle="1" w:styleId="161">
    <w:name w:val="正文文本首行缩进 字符"/>
    <w:basedOn w:val="158"/>
    <w:autoRedefine/>
    <w:semiHidden/>
    <w:qFormat/>
    <w:uiPriority w:val="99"/>
  </w:style>
  <w:style w:type="paragraph" w:customStyle="1" w:styleId="162">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63">
    <w:name w:val="1文章"/>
    <w:basedOn w:val="1"/>
    <w:autoRedefine/>
    <w:qFormat/>
    <w:uiPriority w:val="0"/>
    <w:pPr>
      <w:snapToGrid w:val="0"/>
      <w:spacing w:line="360" w:lineRule="auto"/>
      <w:ind w:firstLine="573"/>
    </w:pPr>
    <w:rPr>
      <w:rFonts w:ascii="Times New Roman" w:hAnsi="Times New Roman" w:eastAsia="仿宋_GB2312" w:cs="Times New Roman"/>
      <w:sz w:val="28"/>
      <w:szCs w:val="20"/>
    </w:rPr>
  </w:style>
  <w:style w:type="character" w:customStyle="1" w:styleId="164">
    <w:name w:val="表文字 Char1"/>
    <w:link w:val="165"/>
    <w:autoRedefine/>
    <w:qFormat/>
    <w:uiPriority w:val="0"/>
    <w:rPr>
      <w:rFonts w:eastAsia="宋体"/>
      <w:sz w:val="24"/>
      <w:szCs w:val="21"/>
    </w:rPr>
  </w:style>
  <w:style w:type="paragraph" w:customStyle="1" w:styleId="165">
    <w:name w:val="表文字"/>
    <w:basedOn w:val="1"/>
    <w:link w:val="164"/>
    <w:autoRedefine/>
    <w:qFormat/>
    <w:uiPriority w:val="0"/>
    <w:pPr>
      <w:overflowPunct w:val="0"/>
      <w:autoSpaceDE w:val="0"/>
      <w:autoSpaceDN w:val="0"/>
      <w:adjustRightInd w:val="0"/>
      <w:spacing w:line="240" w:lineRule="atLeast"/>
      <w:textAlignment w:val="baseline"/>
    </w:pPr>
    <w:rPr>
      <w:rFonts w:eastAsia="宋体"/>
      <w:sz w:val="24"/>
      <w:szCs w:val="21"/>
    </w:rPr>
  </w:style>
  <w:style w:type="paragraph" w:styleId="166">
    <w:name w:val="List Paragraph"/>
    <w:basedOn w:val="1"/>
    <w:autoRedefine/>
    <w:qFormat/>
    <w:uiPriority w:val="34"/>
    <w:pPr>
      <w:ind w:firstLine="420" w:firstLineChars="200"/>
    </w:pPr>
  </w:style>
  <w:style w:type="character" w:customStyle="1" w:styleId="167">
    <w:name w:val="段落 Char"/>
    <w:link w:val="168"/>
    <w:autoRedefine/>
    <w:qFormat/>
    <w:uiPriority w:val="0"/>
    <w:rPr>
      <w:rFonts w:hAnsi="宋体" w:eastAsia="宋体"/>
      <w:kern w:val="24"/>
      <w:sz w:val="24"/>
      <w:szCs w:val="24"/>
    </w:rPr>
  </w:style>
  <w:style w:type="paragraph" w:customStyle="1" w:styleId="168">
    <w:name w:val="段落"/>
    <w:basedOn w:val="1"/>
    <w:link w:val="167"/>
    <w:autoRedefine/>
    <w:qFormat/>
    <w:uiPriority w:val="0"/>
    <w:pPr>
      <w:tabs>
        <w:tab w:val="left" w:pos="780"/>
      </w:tabs>
      <w:adjustRightInd w:val="0"/>
      <w:snapToGrid w:val="0"/>
      <w:spacing w:line="360" w:lineRule="auto"/>
      <w:ind w:firstLine="480" w:firstLineChars="200"/>
    </w:pPr>
    <w:rPr>
      <w:rFonts w:hAnsi="宋体" w:eastAsia="宋体"/>
      <w:kern w:val="24"/>
      <w:sz w:val="24"/>
      <w:szCs w:val="24"/>
    </w:rPr>
  </w:style>
  <w:style w:type="character" w:customStyle="1" w:styleId="169">
    <w:name w:val="表文字 Char"/>
    <w:autoRedefine/>
    <w:qFormat/>
    <w:uiPriority w:val="0"/>
    <w:rPr>
      <w:rFonts w:ascii="宋体" w:hAnsi="Times New Roman" w:eastAsia="宋体" w:cs="Times New Roman"/>
      <w:color w:val="000000"/>
      <w:kern w:val="0"/>
      <w:szCs w:val="20"/>
    </w:rPr>
  </w:style>
  <w:style w:type="character" w:customStyle="1" w:styleId="170">
    <w:name w:val="正文文本首行缩进 2 字符"/>
    <w:autoRedefine/>
    <w:qFormat/>
    <w:uiPriority w:val="99"/>
    <w:rPr>
      <w:rFonts w:ascii="Calibri" w:hAnsi="Calibri" w:eastAsia="宋体" w:cs="Times New Roman"/>
    </w:rPr>
  </w:style>
  <w:style w:type="character" w:customStyle="1" w:styleId="171">
    <w:name w:val="正文文本首行缩进 2 字符1"/>
    <w:basedOn w:val="81"/>
    <w:autoRedefine/>
    <w:semiHidden/>
    <w:qFormat/>
    <w:uiPriority w:val="99"/>
  </w:style>
  <w:style w:type="paragraph" w:customStyle="1" w:styleId="172">
    <w:name w:val="表头字体宋"/>
    <w:basedOn w:val="1"/>
    <w:autoRedefine/>
    <w:qFormat/>
    <w:uiPriority w:val="0"/>
    <w:pPr>
      <w:widowControl/>
      <w:spacing w:line="500" w:lineRule="exact"/>
      <w:jc w:val="center"/>
    </w:pPr>
    <w:rPr>
      <w:rFonts w:ascii="宋体" w:hAnsi="宋体" w:eastAsia="宋体" w:cs="宋体"/>
      <w:b/>
      <w:bCs/>
      <w:kern w:val="0"/>
      <w:sz w:val="24"/>
      <w:szCs w:val="20"/>
    </w:rPr>
  </w:style>
  <w:style w:type="character" w:customStyle="1" w:styleId="173">
    <w:name w:val="fontstyle01"/>
    <w:autoRedefine/>
    <w:qFormat/>
    <w:uiPriority w:val="0"/>
    <w:rPr>
      <w:rFonts w:hint="eastAsia" w:ascii="宋体" w:hAnsi="宋体" w:eastAsia="宋体"/>
      <w:color w:val="000000"/>
      <w:sz w:val="24"/>
      <w:szCs w:val="24"/>
    </w:rPr>
  </w:style>
  <w:style w:type="character" w:customStyle="1" w:styleId="174">
    <w:name w:val="批注文字 字符1"/>
    <w:basedOn w:val="60"/>
    <w:autoRedefine/>
    <w:semiHidden/>
    <w:qFormat/>
    <w:uiPriority w:val="99"/>
  </w:style>
  <w:style w:type="character" w:customStyle="1" w:styleId="175">
    <w:name w:val="表格内容 Char"/>
    <w:link w:val="176"/>
    <w:autoRedefine/>
    <w:qFormat/>
    <w:locked/>
    <w:uiPriority w:val="0"/>
    <w:rPr>
      <w:rFonts w:ascii="Times New Roman" w:hAnsi="Times New Roman"/>
    </w:rPr>
  </w:style>
  <w:style w:type="paragraph" w:customStyle="1" w:styleId="176">
    <w:name w:val="表格内容"/>
    <w:basedOn w:val="1"/>
    <w:next w:val="1"/>
    <w:link w:val="175"/>
    <w:autoRedefine/>
    <w:qFormat/>
    <w:uiPriority w:val="0"/>
    <w:pPr>
      <w:widowControl/>
      <w:jc w:val="center"/>
    </w:pPr>
    <w:rPr>
      <w:rFonts w:ascii="Times New Roman" w:hAnsi="Times New Roman"/>
    </w:rPr>
  </w:style>
  <w:style w:type="character" w:customStyle="1" w:styleId="177">
    <w:name w:val="纯文本 字符"/>
    <w:autoRedefine/>
    <w:qFormat/>
    <w:uiPriority w:val="0"/>
    <w:rPr>
      <w:rFonts w:ascii="宋体" w:hAnsi="Courier New" w:eastAsia="宋体" w:cs="Times New Roman"/>
      <w:szCs w:val="21"/>
    </w:rPr>
  </w:style>
  <w:style w:type="character" w:customStyle="1" w:styleId="178">
    <w:name w:val="纯文本 字符1"/>
    <w:basedOn w:val="60"/>
    <w:autoRedefine/>
    <w:semiHidden/>
    <w:qFormat/>
    <w:uiPriority w:val="99"/>
    <w:rPr>
      <w:rFonts w:hAnsi="Courier New" w:cs="Courier New" w:asciiTheme="minorEastAsia"/>
    </w:rPr>
  </w:style>
  <w:style w:type="paragraph" w:customStyle="1" w:styleId="179">
    <w:name w:val="列表段落1"/>
    <w:basedOn w:val="1"/>
    <w:autoRedefine/>
    <w:qFormat/>
    <w:uiPriority w:val="99"/>
    <w:pPr>
      <w:ind w:firstLine="420" w:firstLineChars="200"/>
    </w:pPr>
    <w:rPr>
      <w:rFonts w:ascii="Times New Roman" w:hAnsi="Times New Roman" w:eastAsia="宋体" w:cs="Times New Roman"/>
      <w:szCs w:val="24"/>
    </w:rPr>
  </w:style>
  <w:style w:type="paragraph" w:customStyle="1" w:styleId="180">
    <w:name w:val="居中正文"/>
    <w:basedOn w:val="1"/>
    <w:next w:val="1"/>
    <w:autoRedefine/>
    <w:qFormat/>
    <w:uiPriority w:val="0"/>
    <w:pPr>
      <w:adjustRightInd w:val="0"/>
      <w:spacing w:before="120" w:line="360" w:lineRule="auto"/>
      <w:jc w:val="center"/>
    </w:pPr>
    <w:rPr>
      <w:rFonts w:ascii="宋体" w:hAnsi="Times New Roman" w:eastAsia="宋体" w:cs="Times New Roman"/>
      <w:kern w:val="28"/>
      <w:sz w:val="24"/>
      <w:szCs w:val="20"/>
    </w:rPr>
  </w:style>
  <w:style w:type="paragraph" w:customStyle="1" w:styleId="181">
    <w:name w:val="正文文本首行缩进1"/>
    <w:basedOn w:val="1"/>
    <w:autoRedefine/>
    <w:qFormat/>
    <w:uiPriority w:val="0"/>
    <w:pPr>
      <w:adjustRightInd w:val="0"/>
      <w:snapToGrid w:val="0"/>
      <w:spacing w:line="360" w:lineRule="auto"/>
      <w:ind w:firstLine="200" w:firstLineChars="200"/>
    </w:pPr>
    <w:rPr>
      <w:rFonts w:ascii="Times New Roman" w:hAnsi="Times New Roman" w:eastAsia="宋体" w:cs="Times New Roman"/>
      <w:sz w:val="24"/>
      <w:szCs w:val="21"/>
    </w:rPr>
  </w:style>
  <w:style w:type="paragraph" w:customStyle="1" w:styleId="182">
    <w:name w:val="报告正文"/>
    <w:basedOn w:val="1"/>
    <w:link w:val="183"/>
    <w:autoRedefine/>
    <w:qFormat/>
    <w:uiPriority w:val="0"/>
    <w:pPr>
      <w:adjustRightInd w:val="0"/>
      <w:snapToGrid w:val="0"/>
      <w:spacing w:line="360" w:lineRule="auto"/>
      <w:ind w:firstLine="200" w:firstLineChars="200"/>
    </w:pPr>
    <w:rPr>
      <w:rFonts w:hint="eastAsia" w:ascii="宋体" w:hAnsi="Calibri" w:eastAsia="宋体" w:cs="Times New Roman"/>
      <w:sz w:val="24"/>
      <w:szCs w:val="21"/>
    </w:rPr>
  </w:style>
  <w:style w:type="character" w:customStyle="1" w:styleId="183">
    <w:name w:val="报告正文 Char"/>
    <w:basedOn w:val="60"/>
    <w:link w:val="182"/>
    <w:autoRedefine/>
    <w:qFormat/>
    <w:uiPriority w:val="0"/>
    <w:rPr>
      <w:rFonts w:hint="eastAsia" w:ascii="宋体" w:hAnsi="Calibri" w:eastAsia="宋体" w:cs="宋体"/>
      <w:kern w:val="2"/>
      <w:sz w:val="24"/>
      <w:szCs w:val="21"/>
    </w:rPr>
  </w:style>
  <w:style w:type="character" w:customStyle="1" w:styleId="184">
    <w:name w:val="正文首行缩进 Char"/>
    <w:basedOn w:val="185"/>
    <w:autoRedefine/>
    <w:qFormat/>
    <w:uiPriority w:val="0"/>
    <w:rPr>
      <w:kern w:val="2"/>
      <w:sz w:val="21"/>
      <w:szCs w:val="21"/>
    </w:rPr>
  </w:style>
  <w:style w:type="character" w:customStyle="1" w:styleId="185">
    <w:name w:val="正文文本 Char"/>
    <w:basedOn w:val="60"/>
    <w:autoRedefine/>
    <w:qFormat/>
    <w:uiPriority w:val="0"/>
    <w:rPr>
      <w:kern w:val="2"/>
      <w:sz w:val="21"/>
      <w:szCs w:val="21"/>
    </w:rPr>
  </w:style>
  <w:style w:type="paragraph" w:customStyle="1" w:styleId="186">
    <w:name w:val="正文2"/>
    <w:basedOn w:val="1"/>
    <w:autoRedefine/>
    <w:qFormat/>
    <w:uiPriority w:val="0"/>
    <w:pPr>
      <w:widowControl/>
    </w:pPr>
    <w:rPr>
      <w:rFonts w:ascii="Times New Roman" w:hAnsi="Times New Roman" w:eastAsia="宋体" w:cs="Times New Roman"/>
      <w:szCs w:val="21"/>
    </w:rPr>
  </w:style>
  <w:style w:type="character" w:customStyle="1" w:styleId="187">
    <w:name w:val="样式 (符号) 宋体 小四 行距: 1.5 倍行距 Char"/>
    <w:basedOn w:val="60"/>
    <w:link w:val="188"/>
    <w:autoRedefine/>
    <w:qFormat/>
    <w:uiPriority w:val="0"/>
    <w:rPr>
      <w:rFonts w:hint="eastAsia" w:ascii="宋体" w:hAnsi="宋体" w:eastAsia="宋体" w:cs="宋体"/>
      <w:sz w:val="24"/>
    </w:rPr>
  </w:style>
  <w:style w:type="paragraph" w:customStyle="1" w:styleId="188">
    <w:name w:val="样式 (符号) 宋体 小四 行距: 1.5 倍行距"/>
    <w:basedOn w:val="1"/>
    <w:link w:val="187"/>
    <w:autoRedefine/>
    <w:qFormat/>
    <w:uiPriority w:val="0"/>
    <w:pPr>
      <w:spacing w:line="360" w:lineRule="auto"/>
      <w:ind w:firstLine="480" w:firstLineChars="200"/>
    </w:pPr>
    <w:rPr>
      <w:rFonts w:hint="eastAsia" w:ascii="宋体" w:hAnsi="宋体" w:eastAsia="宋体" w:cs="宋体"/>
      <w:kern w:val="0"/>
      <w:sz w:val="24"/>
      <w:szCs w:val="20"/>
    </w:rPr>
  </w:style>
  <w:style w:type="character" w:customStyle="1" w:styleId="189">
    <w:name w:val="msosubtlereference"/>
    <w:basedOn w:val="60"/>
    <w:autoRedefine/>
    <w:qFormat/>
    <w:uiPriority w:val="0"/>
    <w:rPr>
      <w:smallCaps/>
      <w:color w:val="C0504D"/>
      <w:u w:val="single"/>
    </w:rPr>
  </w:style>
  <w:style w:type="character" w:customStyle="1" w:styleId="190">
    <w:name w:val="标题 2 字符"/>
    <w:basedOn w:val="60"/>
    <w:autoRedefine/>
    <w:qFormat/>
    <w:uiPriority w:val="0"/>
    <w:rPr>
      <w:rFonts w:hint="eastAsia" w:ascii="黑体" w:hAnsi="宋体" w:eastAsia="黑体" w:cs="黑体"/>
      <w:bCs/>
      <w:kern w:val="2"/>
      <w:sz w:val="24"/>
      <w:szCs w:val="32"/>
    </w:rPr>
  </w:style>
  <w:style w:type="character" w:customStyle="1" w:styleId="191">
    <w:name w:val="魏秀珍报告正文 Char Char"/>
    <w:basedOn w:val="60"/>
    <w:link w:val="192"/>
    <w:autoRedefine/>
    <w:qFormat/>
    <w:uiPriority w:val="0"/>
    <w:rPr>
      <w:rFonts w:hint="eastAsia" w:ascii="宋体" w:hAnsi="宋体" w:eastAsia="宋体" w:cs="宋体"/>
      <w:color w:val="000000"/>
      <w:kern w:val="2"/>
      <w:sz w:val="24"/>
      <w:lang w:val="zh-CN"/>
    </w:rPr>
  </w:style>
  <w:style w:type="paragraph" w:customStyle="1" w:styleId="192">
    <w:name w:val="魏秀珍报告正文"/>
    <w:basedOn w:val="1"/>
    <w:link w:val="191"/>
    <w:autoRedefine/>
    <w:qFormat/>
    <w:uiPriority w:val="0"/>
    <w:pPr>
      <w:adjustRightInd w:val="0"/>
      <w:snapToGrid w:val="0"/>
      <w:spacing w:line="360" w:lineRule="auto"/>
      <w:ind w:firstLine="480" w:firstLineChars="200"/>
      <w:jc w:val="left"/>
    </w:pPr>
    <w:rPr>
      <w:rFonts w:hint="eastAsia" w:ascii="宋体" w:hAnsi="宋体" w:eastAsia="宋体" w:cs="宋体"/>
      <w:color w:val="000000"/>
      <w:sz w:val="24"/>
      <w:szCs w:val="20"/>
      <w:lang w:val="zh-CN"/>
    </w:rPr>
  </w:style>
  <w:style w:type="character" w:customStyle="1" w:styleId="193">
    <w:name w:val="正文缩进 Char"/>
    <w:basedOn w:val="60"/>
    <w:autoRedefine/>
    <w:qFormat/>
    <w:uiPriority w:val="0"/>
    <w:rPr>
      <w:rFonts w:hint="eastAsia" w:ascii="宋体" w:hAnsi="宋体" w:eastAsia="宋体" w:cs="宋体"/>
      <w:lang w:val="en-US" w:eastAsia="zh-CN"/>
    </w:rPr>
  </w:style>
  <w:style w:type="character" w:customStyle="1" w:styleId="194">
    <w:name w:val="15"/>
    <w:basedOn w:val="60"/>
    <w:autoRedefine/>
    <w:qFormat/>
    <w:uiPriority w:val="0"/>
  </w:style>
  <w:style w:type="character" w:customStyle="1" w:styleId="195">
    <w:name w:val="报告表正文 Char1"/>
    <w:basedOn w:val="60"/>
    <w:link w:val="196"/>
    <w:autoRedefine/>
    <w:qFormat/>
    <w:uiPriority w:val="0"/>
    <w:rPr>
      <w:bCs/>
      <w:color w:val="000000"/>
      <w:kern w:val="2"/>
      <w:sz w:val="24"/>
      <w:szCs w:val="24"/>
    </w:rPr>
  </w:style>
  <w:style w:type="paragraph" w:customStyle="1" w:styleId="196">
    <w:name w:val="报告表正文"/>
    <w:basedOn w:val="1"/>
    <w:next w:val="1"/>
    <w:link w:val="195"/>
    <w:autoRedefine/>
    <w:qFormat/>
    <w:uiPriority w:val="0"/>
    <w:pPr>
      <w:spacing w:line="360" w:lineRule="auto"/>
      <w:ind w:firstLine="200" w:firstLineChars="200"/>
      <w:outlineLvl w:val="0"/>
    </w:pPr>
    <w:rPr>
      <w:rFonts w:ascii="Times New Roman" w:hAnsi="Times New Roman" w:eastAsia="宋体" w:cs="Times New Roman"/>
      <w:bCs/>
      <w:color w:val="000000"/>
      <w:sz w:val="24"/>
      <w:szCs w:val="24"/>
    </w:rPr>
  </w:style>
  <w:style w:type="character" w:customStyle="1" w:styleId="197">
    <w:name w:val="金光华文本正文 Char Char"/>
    <w:basedOn w:val="60"/>
    <w:link w:val="198"/>
    <w:autoRedefine/>
    <w:qFormat/>
    <w:uiPriority w:val="0"/>
    <w:rPr>
      <w:rFonts w:hint="eastAsia" w:ascii="宋体" w:hAnsi="宋体" w:eastAsia="宋体" w:cs="宋体"/>
      <w:sz w:val="24"/>
      <w:szCs w:val="24"/>
    </w:rPr>
  </w:style>
  <w:style w:type="paragraph" w:customStyle="1" w:styleId="198">
    <w:name w:val="金光华文本正文"/>
    <w:basedOn w:val="1"/>
    <w:link w:val="197"/>
    <w:autoRedefine/>
    <w:qFormat/>
    <w:uiPriority w:val="0"/>
    <w:pPr>
      <w:widowControl/>
      <w:tabs>
        <w:tab w:val="left" w:pos="6840"/>
      </w:tabs>
      <w:spacing w:line="360" w:lineRule="auto"/>
      <w:ind w:firstLine="510"/>
      <w:jc w:val="left"/>
    </w:pPr>
    <w:rPr>
      <w:rFonts w:hint="eastAsia" w:ascii="宋体" w:hAnsi="宋体" w:eastAsia="宋体" w:cs="宋体"/>
      <w:kern w:val="0"/>
      <w:sz w:val="24"/>
      <w:szCs w:val="24"/>
    </w:rPr>
  </w:style>
  <w:style w:type="character" w:customStyle="1" w:styleId="199">
    <w:name w:val="正文文本缩进 3 Char"/>
    <w:basedOn w:val="60"/>
    <w:autoRedefine/>
    <w:qFormat/>
    <w:uiPriority w:val="0"/>
    <w:rPr>
      <w:kern w:val="0"/>
      <w:sz w:val="24"/>
      <w:lang w:val="en-US"/>
    </w:rPr>
  </w:style>
  <w:style w:type="character" w:customStyle="1" w:styleId="200">
    <w:name w:val="表标题（杨） Char"/>
    <w:basedOn w:val="60"/>
    <w:link w:val="201"/>
    <w:autoRedefine/>
    <w:qFormat/>
    <w:uiPriority w:val="0"/>
    <w:rPr>
      <w:color w:val="000000"/>
      <w:kern w:val="2"/>
      <w:sz w:val="24"/>
      <w:szCs w:val="24"/>
    </w:rPr>
  </w:style>
  <w:style w:type="paragraph" w:customStyle="1" w:styleId="201">
    <w:name w:val="表标题（杨）"/>
    <w:basedOn w:val="18"/>
    <w:link w:val="200"/>
    <w:autoRedefine/>
    <w:qFormat/>
    <w:uiPriority w:val="0"/>
    <w:pPr>
      <w:widowControl/>
      <w:adjustRightInd/>
      <w:snapToGrid/>
      <w:jc w:val="center"/>
    </w:pPr>
    <w:rPr>
      <w:rFonts w:eastAsia="宋体" w:cs="Times New Roman"/>
      <w:color w:val="000000"/>
      <w:szCs w:val="24"/>
    </w:rPr>
  </w:style>
  <w:style w:type="character" w:customStyle="1" w:styleId="202">
    <w:name w:val="msointensereference"/>
    <w:basedOn w:val="60"/>
    <w:autoRedefine/>
    <w:qFormat/>
    <w:uiPriority w:val="0"/>
    <w:rPr>
      <w:b/>
      <w:bCs/>
      <w:smallCaps/>
      <w:color w:val="C0504D"/>
      <w:spacing w:val="5"/>
      <w:u w:val="single"/>
    </w:rPr>
  </w:style>
  <w:style w:type="character" w:customStyle="1" w:styleId="203">
    <w:name w:val="Char Char20"/>
    <w:basedOn w:val="60"/>
    <w:autoRedefine/>
    <w:qFormat/>
    <w:uiPriority w:val="0"/>
    <w:rPr>
      <w:rFonts w:hint="default" w:ascii="Calibri" w:hAnsi="Calibri" w:cs="Calibri"/>
      <w:b/>
      <w:kern w:val="2"/>
      <w:sz w:val="24"/>
      <w:szCs w:val="21"/>
    </w:rPr>
  </w:style>
  <w:style w:type="character" w:customStyle="1" w:styleId="204">
    <w:name w:val="标题 2 Char1"/>
    <w:basedOn w:val="60"/>
    <w:autoRedefine/>
    <w:qFormat/>
    <w:uiPriority w:val="0"/>
    <w:rPr>
      <w:rFonts w:hint="eastAsia" w:ascii="宋体" w:hAnsi="宋体" w:eastAsia="宋体" w:cs="宋体"/>
      <w:b/>
      <w:bCs/>
      <w:kern w:val="2"/>
      <w:sz w:val="30"/>
      <w:szCs w:val="32"/>
      <w:lang w:val="en-US" w:eastAsia="zh-CN"/>
    </w:rPr>
  </w:style>
  <w:style w:type="character" w:customStyle="1" w:styleId="205">
    <w:name w:val="Char Char6"/>
    <w:basedOn w:val="60"/>
    <w:autoRedefine/>
    <w:qFormat/>
    <w:uiPriority w:val="0"/>
    <w:rPr>
      <w:rFonts w:hint="eastAsia" w:ascii="宋体" w:hAnsi="宋体" w:eastAsia="宋体" w:cs="宋体"/>
      <w:kern w:val="2"/>
      <w:sz w:val="18"/>
      <w:szCs w:val="18"/>
      <w:lang w:val="en-US" w:eastAsia="zh-CN"/>
    </w:rPr>
  </w:style>
  <w:style w:type="character" w:customStyle="1" w:styleId="206">
    <w:name w:val="keyword"/>
    <w:basedOn w:val="60"/>
    <w:autoRedefine/>
    <w:qFormat/>
    <w:uiPriority w:val="0"/>
  </w:style>
  <w:style w:type="character" w:customStyle="1" w:styleId="207">
    <w:name w:val="Char Char29"/>
    <w:basedOn w:val="60"/>
    <w:autoRedefine/>
    <w:qFormat/>
    <w:uiPriority w:val="0"/>
    <w:rPr>
      <w:rFonts w:hint="eastAsia" w:ascii="黑体" w:hAnsi="宋体" w:eastAsia="黑体" w:cs="黑体"/>
      <w:bCs/>
      <w:kern w:val="2"/>
      <w:sz w:val="28"/>
      <w:szCs w:val="32"/>
      <w:lang w:val="en-US" w:eastAsia="zh-CN"/>
    </w:rPr>
  </w:style>
  <w:style w:type="character" w:customStyle="1" w:styleId="208">
    <w:name w:val="宗兴正文 Char Char"/>
    <w:basedOn w:val="60"/>
    <w:link w:val="209"/>
    <w:autoRedefine/>
    <w:qFormat/>
    <w:uiPriority w:val="0"/>
    <w:rPr>
      <w:kern w:val="2"/>
      <w:sz w:val="24"/>
      <w:szCs w:val="24"/>
    </w:rPr>
  </w:style>
  <w:style w:type="paragraph" w:customStyle="1" w:styleId="209">
    <w:name w:val="宗兴正文"/>
    <w:basedOn w:val="1"/>
    <w:link w:val="208"/>
    <w:autoRedefine/>
    <w:qFormat/>
    <w:uiPriority w:val="0"/>
    <w:pPr>
      <w:widowControl/>
      <w:spacing w:before="93" w:after="93" w:line="360" w:lineRule="auto"/>
      <w:ind w:firstLine="480" w:firstLineChars="200"/>
      <w:jc w:val="left"/>
    </w:pPr>
    <w:rPr>
      <w:rFonts w:ascii="Times New Roman" w:hAnsi="Times New Roman" w:eastAsia="宋体" w:cs="Times New Roman"/>
      <w:sz w:val="24"/>
      <w:szCs w:val="24"/>
    </w:rPr>
  </w:style>
  <w:style w:type="character" w:customStyle="1" w:styleId="210">
    <w:name w:val="表格样式1 Char"/>
    <w:basedOn w:val="60"/>
    <w:link w:val="211"/>
    <w:autoRedefine/>
    <w:qFormat/>
    <w:uiPriority w:val="0"/>
    <w:rPr>
      <w:kern w:val="2"/>
      <w:szCs w:val="21"/>
    </w:rPr>
  </w:style>
  <w:style w:type="paragraph" w:customStyle="1" w:styleId="211">
    <w:name w:val="表格样式1"/>
    <w:basedOn w:val="165"/>
    <w:link w:val="210"/>
    <w:autoRedefine/>
    <w:qFormat/>
    <w:uiPriority w:val="0"/>
    <w:pPr>
      <w:tabs>
        <w:tab w:val="left" w:pos="1410"/>
        <w:tab w:val="left" w:pos="2310"/>
        <w:tab w:val="left" w:pos="3990"/>
        <w:tab w:val="left" w:pos="5460"/>
        <w:tab w:val="left" w:pos="7305"/>
      </w:tabs>
      <w:snapToGrid w:val="0"/>
    </w:pPr>
    <w:rPr>
      <w:rFonts w:ascii="Times New Roman" w:hAnsi="Times New Roman" w:cs="Times New Roman"/>
      <w:sz w:val="20"/>
    </w:rPr>
  </w:style>
  <w:style w:type="character" w:customStyle="1" w:styleId="212">
    <w:name w:val="font21"/>
    <w:basedOn w:val="60"/>
    <w:autoRedefine/>
    <w:qFormat/>
    <w:uiPriority w:val="0"/>
    <w:rPr>
      <w:rFonts w:hint="eastAsia" w:ascii="宋体" w:hAnsi="宋体" w:eastAsia="宋体" w:cs="宋体"/>
      <w:color w:val="000000"/>
      <w:sz w:val="22"/>
      <w:szCs w:val="22"/>
      <w:u w:val="none"/>
    </w:rPr>
  </w:style>
  <w:style w:type="character" w:customStyle="1" w:styleId="213">
    <w:name w:val="正文文本缩进 2 Char"/>
    <w:basedOn w:val="60"/>
    <w:autoRedefine/>
    <w:qFormat/>
    <w:uiPriority w:val="0"/>
  </w:style>
  <w:style w:type="character" w:customStyle="1" w:styleId="214">
    <w:name w:val="君邦正文 Char2"/>
    <w:basedOn w:val="60"/>
    <w:autoRedefine/>
    <w:qFormat/>
    <w:uiPriority w:val="0"/>
    <w:rPr>
      <w:bCs/>
      <w:sz w:val="24"/>
    </w:rPr>
  </w:style>
  <w:style w:type="character" w:customStyle="1" w:styleId="215">
    <w:name w:val="Char Char27"/>
    <w:basedOn w:val="60"/>
    <w:autoRedefine/>
    <w:qFormat/>
    <w:uiPriority w:val="0"/>
    <w:rPr>
      <w:rFonts w:hint="default" w:ascii="Calibri" w:hAnsi="Calibri" w:eastAsia="宋体" w:cs="Times New Roman"/>
      <w:kern w:val="2"/>
      <w:sz w:val="21"/>
      <w:szCs w:val="21"/>
    </w:rPr>
  </w:style>
  <w:style w:type="character" w:customStyle="1" w:styleId="216">
    <w:name w:val="表中文字 Char"/>
    <w:basedOn w:val="60"/>
    <w:link w:val="217"/>
    <w:autoRedefine/>
    <w:qFormat/>
    <w:uiPriority w:val="0"/>
    <w:rPr>
      <w:kern w:val="2"/>
      <w:sz w:val="21"/>
      <w:szCs w:val="24"/>
    </w:rPr>
  </w:style>
  <w:style w:type="paragraph" w:customStyle="1" w:styleId="217">
    <w:name w:val="表中文字"/>
    <w:basedOn w:val="1"/>
    <w:link w:val="216"/>
    <w:autoRedefine/>
    <w:qFormat/>
    <w:uiPriority w:val="0"/>
    <w:pPr>
      <w:widowControl/>
      <w:jc w:val="center"/>
    </w:pPr>
    <w:rPr>
      <w:rFonts w:ascii="Times New Roman" w:hAnsi="Times New Roman" w:eastAsia="宋体" w:cs="Times New Roman"/>
      <w:szCs w:val="24"/>
    </w:rPr>
  </w:style>
  <w:style w:type="character" w:customStyle="1" w:styleId="218">
    <w:name w:val="样式 宋体 小四 黑色1 Char"/>
    <w:basedOn w:val="60"/>
    <w:link w:val="219"/>
    <w:autoRedefine/>
    <w:qFormat/>
    <w:uiPriority w:val="0"/>
    <w:rPr>
      <w:rFonts w:hint="eastAsia" w:ascii="宋体" w:hAnsi="宋体" w:eastAsia="宋体" w:cs="宋体"/>
      <w:color w:val="000000"/>
      <w:sz w:val="24"/>
      <w:szCs w:val="24"/>
    </w:rPr>
  </w:style>
  <w:style w:type="paragraph" w:customStyle="1" w:styleId="219">
    <w:name w:val="样式 宋体 小四 黑色1"/>
    <w:basedOn w:val="1"/>
    <w:next w:val="24"/>
    <w:link w:val="218"/>
    <w:autoRedefine/>
    <w:qFormat/>
    <w:uiPriority w:val="0"/>
    <w:pPr>
      <w:spacing w:line="360" w:lineRule="auto"/>
    </w:pPr>
    <w:rPr>
      <w:rFonts w:hint="eastAsia" w:ascii="宋体" w:hAnsi="宋体" w:eastAsia="宋体" w:cs="宋体"/>
      <w:color w:val="000000"/>
      <w:kern w:val="0"/>
      <w:sz w:val="24"/>
      <w:szCs w:val="24"/>
    </w:rPr>
  </w:style>
  <w:style w:type="character" w:customStyle="1" w:styleId="220">
    <w:name w:val="正文文本 (2)_"/>
    <w:basedOn w:val="60"/>
    <w:link w:val="221"/>
    <w:autoRedefine/>
    <w:qFormat/>
    <w:uiPriority w:val="0"/>
    <w:rPr>
      <w:rFonts w:hint="eastAsia" w:ascii="宋体" w:hAnsi="宋体" w:eastAsia="宋体" w:cs="宋体"/>
      <w:shd w:val="clear" w:color="auto" w:fill="FFFFFF"/>
    </w:rPr>
  </w:style>
  <w:style w:type="paragraph" w:customStyle="1" w:styleId="221">
    <w:name w:val="正文文本 (2)"/>
    <w:basedOn w:val="1"/>
    <w:link w:val="220"/>
    <w:autoRedefine/>
    <w:qFormat/>
    <w:uiPriority w:val="0"/>
    <w:pPr>
      <w:shd w:val="clear" w:color="auto" w:fill="FFFFFF"/>
      <w:spacing w:line="240" w:lineRule="atLeast"/>
      <w:ind w:hanging="2060"/>
    </w:pPr>
    <w:rPr>
      <w:rFonts w:hint="eastAsia" w:ascii="宋体" w:hAnsi="宋体" w:eastAsia="宋体" w:cs="宋体"/>
      <w:kern w:val="0"/>
      <w:sz w:val="20"/>
      <w:szCs w:val="20"/>
    </w:rPr>
  </w:style>
  <w:style w:type="character" w:customStyle="1" w:styleId="222">
    <w:name w:val="批注文字 Char2"/>
    <w:basedOn w:val="60"/>
    <w:autoRedefine/>
    <w:qFormat/>
    <w:uiPriority w:val="0"/>
  </w:style>
  <w:style w:type="character" w:customStyle="1" w:styleId="223">
    <w:name w:val="纯文本 Char"/>
    <w:basedOn w:val="60"/>
    <w:autoRedefine/>
    <w:qFormat/>
    <w:uiPriority w:val="0"/>
    <w:rPr>
      <w:rFonts w:hint="eastAsia" w:ascii="宋体" w:hAnsi="Courier New" w:eastAsia="宋体" w:cs="宋体"/>
    </w:rPr>
  </w:style>
  <w:style w:type="character" w:customStyle="1" w:styleId="224">
    <w:name w:val="Char Char Char Char Char1"/>
    <w:basedOn w:val="60"/>
    <w:autoRedefine/>
    <w:qFormat/>
    <w:uiPriority w:val="0"/>
    <w:rPr>
      <w:rFonts w:hint="default" w:ascii="Times New Roman" w:hAnsi="Times New Roman" w:cs="Times New Roman"/>
      <w:kern w:val="2"/>
      <w:sz w:val="24"/>
      <w:szCs w:val="21"/>
    </w:rPr>
  </w:style>
  <w:style w:type="character" w:customStyle="1" w:styleId="225">
    <w:name w:val="Char Char21"/>
    <w:basedOn w:val="60"/>
    <w:autoRedefine/>
    <w:qFormat/>
    <w:uiPriority w:val="0"/>
    <w:rPr>
      <w:rFonts w:hint="eastAsia" w:ascii="黑体" w:hAnsi="宋体" w:eastAsia="黑体" w:cs="黑体"/>
      <w:sz w:val="32"/>
      <w:szCs w:val="32"/>
      <w:lang w:val="en-US" w:eastAsia="zh-CN"/>
    </w:rPr>
  </w:style>
  <w:style w:type="character" w:customStyle="1" w:styleId="226">
    <w:name w:val="引用 Char2"/>
    <w:basedOn w:val="60"/>
    <w:autoRedefine/>
    <w:qFormat/>
    <w:uiPriority w:val="0"/>
    <w:rPr>
      <w:i/>
      <w:iCs/>
      <w:color w:val="000000"/>
      <w:kern w:val="2"/>
      <w:sz w:val="21"/>
      <w:szCs w:val="21"/>
    </w:rPr>
  </w:style>
  <w:style w:type="character" w:customStyle="1" w:styleId="227">
    <w:name w:val="正文down Char"/>
    <w:basedOn w:val="60"/>
    <w:link w:val="228"/>
    <w:autoRedefine/>
    <w:qFormat/>
    <w:uiPriority w:val="0"/>
    <w:rPr>
      <w:kern w:val="2"/>
      <w:sz w:val="24"/>
      <w:szCs w:val="24"/>
    </w:rPr>
  </w:style>
  <w:style w:type="paragraph" w:customStyle="1" w:styleId="228">
    <w:name w:val="正文down"/>
    <w:basedOn w:val="35"/>
    <w:link w:val="227"/>
    <w:autoRedefine/>
    <w:qFormat/>
    <w:uiPriority w:val="0"/>
    <w:pPr>
      <w:spacing w:line="360" w:lineRule="auto"/>
      <w:ind w:left="0" w:leftChars="0" w:firstLine="200"/>
      <w:jc w:val="left"/>
    </w:pPr>
    <w:rPr>
      <w:rFonts w:ascii="Times New Roman" w:hAnsi="Times New Roman"/>
      <w:sz w:val="24"/>
      <w:szCs w:val="24"/>
    </w:rPr>
  </w:style>
  <w:style w:type="character" w:customStyle="1" w:styleId="229">
    <w:name w:val="Char Char Char Char Char"/>
    <w:basedOn w:val="60"/>
    <w:autoRedefine/>
    <w:qFormat/>
    <w:uiPriority w:val="0"/>
    <w:rPr>
      <w:rFonts w:hint="eastAsia" w:ascii="宋体" w:hAnsi="宋体" w:eastAsia="宋体" w:cs="宋体"/>
      <w:kern w:val="2"/>
      <w:sz w:val="24"/>
      <w:lang w:val="en-US" w:eastAsia="zh-CN"/>
    </w:rPr>
  </w:style>
  <w:style w:type="character" w:customStyle="1" w:styleId="230">
    <w:name w:val="批注主题 Char"/>
    <w:basedOn w:val="60"/>
    <w:autoRedefine/>
    <w:qFormat/>
    <w:uiPriority w:val="0"/>
    <w:rPr>
      <w:rFonts w:hint="default" w:ascii="Calibri" w:hAnsi="Calibri" w:cs="Calibri"/>
      <w:b/>
      <w:bCs/>
      <w:sz w:val="21"/>
      <w:szCs w:val="21"/>
    </w:rPr>
  </w:style>
  <w:style w:type="character" w:customStyle="1" w:styleId="231">
    <w:name w:val="批注主题 Char1"/>
    <w:basedOn w:val="60"/>
    <w:autoRedefine/>
    <w:qFormat/>
    <w:uiPriority w:val="0"/>
    <w:rPr>
      <w:rFonts w:hint="eastAsia" w:ascii="宋体" w:hAnsi="宋体" w:eastAsia="宋体" w:cs="宋体"/>
      <w:b/>
      <w:bCs/>
      <w:kern w:val="2"/>
      <w:sz w:val="21"/>
      <w:szCs w:val="24"/>
      <w:lang w:val="en-US" w:eastAsia="zh-CN"/>
    </w:rPr>
  </w:style>
  <w:style w:type="character" w:customStyle="1" w:styleId="232">
    <w:name w:val="style431"/>
    <w:basedOn w:val="60"/>
    <w:autoRedefine/>
    <w:qFormat/>
    <w:uiPriority w:val="0"/>
    <w:rPr>
      <w:color w:val="030303"/>
      <w:sz w:val="18"/>
      <w:szCs w:val="18"/>
      <w:u w:val="none"/>
    </w:rPr>
  </w:style>
  <w:style w:type="character" w:customStyle="1" w:styleId="233">
    <w:name w:val="正文文本 Char1"/>
    <w:basedOn w:val="60"/>
    <w:autoRedefine/>
    <w:qFormat/>
    <w:uiPriority w:val="0"/>
    <w:rPr>
      <w:rFonts w:hint="eastAsia" w:ascii="宋体" w:hAnsi="宋体" w:eastAsia="宋体" w:cs="Times New Roman"/>
      <w:kern w:val="2"/>
      <w:sz w:val="24"/>
      <w:szCs w:val="24"/>
      <w:lang w:val="en-US" w:eastAsia="zh-CN"/>
    </w:rPr>
  </w:style>
  <w:style w:type="character" w:customStyle="1" w:styleId="234">
    <w:name w:val="正文首行缩进 2 Char"/>
    <w:basedOn w:val="60"/>
    <w:autoRedefine/>
    <w:qFormat/>
    <w:uiPriority w:val="0"/>
    <w:rPr>
      <w:rFonts w:hint="default" w:ascii="Times New Roman" w:hAnsi="Times New Roman" w:eastAsia="宋体" w:cs="Times New Roman"/>
      <w:spacing w:val="16"/>
      <w:kern w:val="2"/>
      <w:sz w:val="28"/>
      <w:szCs w:val="24"/>
      <w:lang w:val="en-US" w:eastAsia="zh-CN"/>
    </w:rPr>
  </w:style>
  <w:style w:type="character" w:customStyle="1" w:styleId="235">
    <w:name w:val="表 Char"/>
    <w:basedOn w:val="60"/>
    <w:link w:val="236"/>
    <w:autoRedefine/>
    <w:qFormat/>
    <w:uiPriority w:val="0"/>
    <w:rPr>
      <w:sz w:val="24"/>
    </w:rPr>
  </w:style>
  <w:style w:type="paragraph" w:customStyle="1" w:styleId="236">
    <w:name w:val="表"/>
    <w:link w:val="235"/>
    <w:autoRedefine/>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character" w:customStyle="1" w:styleId="237">
    <w:name w:val="标题 1 Char1"/>
    <w:basedOn w:val="60"/>
    <w:autoRedefine/>
    <w:qFormat/>
    <w:uiPriority w:val="0"/>
    <w:rPr>
      <w:rFonts w:hint="eastAsia" w:ascii="黑体" w:hAnsi="宋体" w:eastAsia="黑体" w:cs="黑体"/>
      <w:b/>
      <w:kern w:val="44"/>
      <w:sz w:val="32"/>
    </w:rPr>
  </w:style>
  <w:style w:type="character" w:customStyle="1" w:styleId="238">
    <w:name w:val="msosubtleemphasis"/>
    <w:basedOn w:val="60"/>
    <w:autoRedefine/>
    <w:qFormat/>
    <w:uiPriority w:val="0"/>
    <w:rPr>
      <w:i/>
      <w:iCs/>
      <w:color w:val="808080"/>
    </w:rPr>
  </w:style>
  <w:style w:type="character" w:customStyle="1" w:styleId="239">
    <w:name w:val="msointenseemphasis"/>
    <w:basedOn w:val="60"/>
    <w:autoRedefine/>
    <w:qFormat/>
    <w:uiPriority w:val="0"/>
    <w:rPr>
      <w:b/>
      <w:bCs/>
      <w:i/>
      <w:iCs/>
      <w:color w:val="4F81BD"/>
    </w:rPr>
  </w:style>
  <w:style w:type="character" w:customStyle="1" w:styleId="240">
    <w:name w:val="msobooktitle"/>
    <w:basedOn w:val="60"/>
    <w:autoRedefine/>
    <w:qFormat/>
    <w:uiPriority w:val="0"/>
    <w:rPr>
      <w:b/>
      <w:bCs/>
      <w:smallCaps/>
      <w:spacing w:val="5"/>
    </w:rPr>
  </w:style>
  <w:style w:type="character" w:customStyle="1" w:styleId="241">
    <w:name w:val="t_tag"/>
    <w:basedOn w:val="60"/>
    <w:autoRedefine/>
    <w:qFormat/>
    <w:uiPriority w:val="0"/>
  </w:style>
  <w:style w:type="character" w:customStyle="1" w:styleId="242">
    <w:name w:val="样式 宋体 三号 红色"/>
    <w:basedOn w:val="60"/>
    <w:autoRedefine/>
    <w:qFormat/>
    <w:uiPriority w:val="0"/>
    <w:rPr>
      <w:rFonts w:hint="eastAsia" w:ascii="宋体" w:hAnsi="宋体" w:eastAsia="宋体" w:cs="宋体"/>
      <w:color w:val="FF0000"/>
      <w:kern w:val="2"/>
      <w:sz w:val="24"/>
      <w:szCs w:val="21"/>
      <w:lang w:val="en-US" w:eastAsia="zh-CN"/>
    </w:rPr>
  </w:style>
  <w:style w:type="character" w:customStyle="1" w:styleId="243">
    <w:name w:val="样式 文本正文 + 首行缩进:  2 字符 Char Char"/>
    <w:basedOn w:val="60"/>
    <w:link w:val="244"/>
    <w:autoRedefine/>
    <w:qFormat/>
    <w:uiPriority w:val="0"/>
    <w:rPr>
      <w:rFonts w:hint="eastAsia" w:ascii="宋体" w:hAnsi="宋体" w:eastAsia="宋体" w:cs="宋体"/>
      <w:spacing w:val="4"/>
      <w:kern w:val="2"/>
      <w:sz w:val="24"/>
      <w:szCs w:val="24"/>
      <w:lang w:val="zh-CN"/>
    </w:rPr>
  </w:style>
  <w:style w:type="paragraph" w:customStyle="1" w:styleId="244">
    <w:name w:val="样式 文本正文 + 首行缩进:  2 字符"/>
    <w:basedOn w:val="1"/>
    <w:link w:val="243"/>
    <w:autoRedefine/>
    <w:qFormat/>
    <w:uiPriority w:val="0"/>
    <w:pPr>
      <w:widowControl/>
      <w:adjustRightInd w:val="0"/>
      <w:snapToGrid w:val="0"/>
      <w:spacing w:line="360" w:lineRule="auto"/>
      <w:ind w:firstLine="480" w:firstLineChars="200"/>
      <w:jc w:val="left"/>
    </w:pPr>
    <w:rPr>
      <w:rFonts w:hint="eastAsia" w:ascii="宋体" w:hAnsi="宋体" w:eastAsia="宋体" w:cs="宋体"/>
      <w:spacing w:val="4"/>
      <w:sz w:val="24"/>
      <w:szCs w:val="24"/>
      <w:lang w:val="zh-CN"/>
    </w:rPr>
  </w:style>
  <w:style w:type="character" w:customStyle="1" w:styleId="245">
    <w:name w:val="Char Char Char Char"/>
    <w:basedOn w:val="60"/>
    <w:autoRedefine/>
    <w:qFormat/>
    <w:uiPriority w:val="0"/>
    <w:rPr>
      <w:rFonts w:hint="eastAsia" w:ascii="宋体" w:hAnsi="宋体" w:eastAsia="宋体" w:cs="宋体"/>
      <w:kern w:val="2"/>
      <w:sz w:val="24"/>
      <w:lang w:val="en-US" w:eastAsia="zh-CN"/>
    </w:rPr>
  </w:style>
  <w:style w:type="character" w:customStyle="1" w:styleId="246">
    <w:name w:val="表文 Char Char"/>
    <w:basedOn w:val="60"/>
    <w:autoRedefine/>
    <w:qFormat/>
    <w:uiPriority w:val="0"/>
    <w:rPr>
      <w:rFonts w:hint="eastAsia" w:ascii="宋体" w:hAnsi="华文楷体" w:eastAsia="宋体" w:cs="宋体"/>
      <w:position w:val="-24"/>
      <w:sz w:val="24"/>
      <w:szCs w:val="24"/>
    </w:rPr>
  </w:style>
  <w:style w:type="character" w:customStyle="1" w:styleId="247">
    <w:name w:val="批注文字 Char1"/>
    <w:basedOn w:val="60"/>
    <w:autoRedefine/>
    <w:qFormat/>
    <w:uiPriority w:val="0"/>
  </w:style>
  <w:style w:type="character" w:customStyle="1" w:styleId="248">
    <w:name w:val="unnamed11"/>
    <w:basedOn w:val="60"/>
    <w:autoRedefine/>
    <w:qFormat/>
    <w:uiPriority w:val="0"/>
    <w:rPr>
      <w:rFonts w:hint="eastAsia" w:ascii="宋体" w:hAnsi="宋体" w:eastAsia="宋体" w:cs="宋体"/>
      <w:spacing w:val="0"/>
      <w:sz w:val="22"/>
      <w:szCs w:val="22"/>
    </w:rPr>
  </w:style>
  <w:style w:type="character" w:customStyle="1" w:styleId="249">
    <w:name w:val="apple-style-span"/>
    <w:basedOn w:val="60"/>
    <w:autoRedefine/>
    <w:qFormat/>
    <w:uiPriority w:val="99"/>
  </w:style>
  <w:style w:type="character" w:customStyle="1" w:styleId="250">
    <w:name w:val="题注 Char"/>
    <w:basedOn w:val="60"/>
    <w:autoRedefine/>
    <w:qFormat/>
    <w:uiPriority w:val="0"/>
    <w:rPr>
      <w:rFonts w:hint="eastAsia" w:ascii="宋体" w:hAnsi="宋体" w:eastAsia="宋体" w:cs="宋体"/>
      <w:b/>
      <w:kern w:val="2"/>
      <w:sz w:val="24"/>
      <w:lang w:val="en-US" w:eastAsia="zh-CN"/>
    </w:rPr>
  </w:style>
  <w:style w:type="character" w:customStyle="1" w:styleId="251">
    <w:name w:val="标题 Char1"/>
    <w:basedOn w:val="60"/>
    <w:autoRedefine/>
    <w:qFormat/>
    <w:uiPriority w:val="0"/>
    <w:rPr>
      <w:rFonts w:hint="default" w:ascii="Cambria" w:hAnsi="Cambria" w:eastAsia="Cambria" w:cs="Times New Roman"/>
      <w:b/>
      <w:bCs/>
      <w:kern w:val="2"/>
      <w:sz w:val="32"/>
      <w:szCs w:val="32"/>
    </w:rPr>
  </w:style>
  <w:style w:type="character" w:customStyle="1" w:styleId="252">
    <w:name w:val="中文报告书样式 Char1"/>
    <w:basedOn w:val="60"/>
    <w:link w:val="253"/>
    <w:autoRedefine/>
    <w:qFormat/>
    <w:uiPriority w:val="0"/>
    <w:rPr>
      <w:kern w:val="24"/>
      <w:sz w:val="24"/>
      <w:szCs w:val="24"/>
    </w:rPr>
  </w:style>
  <w:style w:type="paragraph" w:customStyle="1" w:styleId="253">
    <w:name w:val="中文报告书样式"/>
    <w:basedOn w:val="1"/>
    <w:link w:val="252"/>
    <w:autoRedefine/>
    <w:qFormat/>
    <w:uiPriority w:val="0"/>
    <w:pPr>
      <w:adjustRightInd w:val="0"/>
      <w:spacing w:line="480" w:lineRule="atLeast"/>
      <w:ind w:firstLine="482"/>
      <w:textAlignment w:val="baseline"/>
    </w:pPr>
    <w:rPr>
      <w:rFonts w:ascii="Times New Roman" w:hAnsi="Times New Roman" w:eastAsia="宋体" w:cs="Times New Roman"/>
      <w:kern w:val="24"/>
      <w:sz w:val="24"/>
      <w:szCs w:val="24"/>
    </w:rPr>
  </w:style>
  <w:style w:type="character" w:customStyle="1" w:styleId="254">
    <w:name w:val="普通文字 Char Char1"/>
    <w:basedOn w:val="60"/>
    <w:autoRedefine/>
    <w:qFormat/>
    <w:uiPriority w:val="0"/>
    <w:rPr>
      <w:rFonts w:hint="eastAsia" w:ascii="宋体" w:hAnsi="Courier New" w:eastAsia="宋体" w:cs="宋体"/>
      <w:kern w:val="2"/>
      <w:sz w:val="21"/>
      <w:lang w:val="en-US" w:eastAsia="zh-CN"/>
    </w:rPr>
  </w:style>
  <w:style w:type="character" w:customStyle="1" w:styleId="255">
    <w:name w:val="引用 Char"/>
    <w:basedOn w:val="60"/>
    <w:autoRedefine/>
    <w:qFormat/>
    <w:uiPriority w:val="0"/>
    <w:rPr>
      <w:i/>
      <w:iCs/>
      <w:color w:val="000000"/>
    </w:rPr>
  </w:style>
  <w:style w:type="character" w:customStyle="1" w:styleId="256">
    <w:name w:val="Char Char37"/>
    <w:basedOn w:val="60"/>
    <w:autoRedefine/>
    <w:qFormat/>
    <w:uiPriority w:val="0"/>
    <w:rPr>
      <w:rFonts w:hint="eastAsia" w:ascii="黑体" w:hAnsi="宋体" w:eastAsia="黑体" w:cs="黑体"/>
      <w:bCs/>
      <w:kern w:val="2"/>
      <w:sz w:val="24"/>
      <w:szCs w:val="32"/>
      <w:lang w:val="en-US" w:eastAsia="zh-CN"/>
    </w:rPr>
  </w:style>
  <w:style w:type="character" w:customStyle="1" w:styleId="257">
    <w:name w:val="Char Char4"/>
    <w:basedOn w:val="60"/>
    <w:autoRedefine/>
    <w:qFormat/>
    <w:uiPriority w:val="0"/>
    <w:rPr>
      <w:rFonts w:hint="default" w:ascii="Times New Roman" w:hAnsi="Times New Roman" w:eastAsia="宋体" w:cs="Times New Roman"/>
      <w:kern w:val="2"/>
      <w:sz w:val="28"/>
      <w:szCs w:val="20"/>
      <w:lang w:val="en-US" w:eastAsia="zh-CN"/>
    </w:rPr>
  </w:style>
  <w:style w:type="character" w:customStyle="1" w:styleId="258">
    <w:name w:val="报告书表格 Char"/>
    <w:basedOn w:val="60"/>
    <w:link w:val="259"/>
    <w:autoRedefine/>
    <w:qFormat/>
    <w:uiPriority w:val="0"/>
    <w:rPr>
      <w:sz w:val="21"/>
    </w:rPr>
  </w:style>
  <w:style w:type="paragraph" w:customStyle="1" w:styleId="259">
    <w:name w:val="报告书表格"/>
    <w:basedOn w:val="1"/>
    <w:link w:val="258"/>
    <w:autoRedefine/>
    <w:qFormat/>
    <w:uiPriority w:val="0"/>
    <w:pPr>
      <w:adjustRightInd w:val="0"/>
      <w:spacing w:before="60" w:after="60" w:line="240" w:lineRule="atLeast"/>
      <w:jc w:val="center"/>
      <w:textAlignment w:val="baseline"/>
    </w:pPr>
    <w:rPr>
      <w:rFonts w:ascii="Times New Roman" w:hAnsi="Times New Roman" w:eastAsia="宋体" w:cs="Times New Roman"/>
      <w:kern w:val="0"/>
      <w:szCs w:val="20"/>
    </w:rPr>
  </w:style>
  <w:style w:type="character" w:customStyle="1" w:styleId="260">
    <w:name w:val="lawsitemtitle"/>
    <w:basedOn w:val="60"/>
    <w:autoRedefine/>
    <w:qFormat/>
    <w:uiPriority w:val="0"/>
  </w:style>
  <w:style w:type="character" w:customStyle="1" w:styleId="261">
    <w:name w:val="headline-content2"/>
    <w:basedOn w:val="60"/>
    <w:autoRedefine/>
    <w:qFormat/>
    <w:uiPriority w:val="0"/>
  </w:style>
  <w:style w:type="character" w:customStyle="1" w:styleId="262">
    <w:name w:val="图(水口山) Char Char"/>
    <w:basedOn w:val="60"/>
    <w:link w:val="263"/>
    <w:autoRedefine/>
    <w:qFormat/>
    <w:uiPriority w:val="0"/>
    <w:rPr>
      <w:rFonts w:hint="eastAsia" w:ascii="黑体" w:hAnsi="宋体" w:eastAsia="黑体" w:cs="黑体"/>
      <w:kern w:val="24"/>
      <w:sz w:val="24"/>
    </w:rPr>
  </w:style>
  <w:style w:type="paragraph" w:customStyle="1" w:styleId="263">
    <w:name w:val="图(水口山)"/>
    <w:basedOn w:val="1"/>
    <w:link w:val="262"/>
    <w:autoRedefine/>
    <w:qFormat/>
    <w:uiPriority w:val="0"/>
    <w:pPr>
      <w:tabs>
        <w:tab w:val="left" w:pos="1021"/>
      </w:tabs>
      <w:spacing w:line="288" w:lineRule="auto"/>
      <w:jc w:val="center"/>
    </w:pPr>
    <w:rPr>
      <w:rFonts w:hint="eastAsia" w:ascii="黑体" w:hAnsi="宋体" w:eastAsia="黑体" w:cs="黑体"/>
      <w:kern w:val="24"/>
      <w:sz w:val="24"/>
      <w:szCs w:val="20"/>
    </w:rPr>
  </w:style>
  <w:style w:type="character" w:customStyle="1" w:styleId="264">
    <w:name w:val="ca-21"/>
    <w:basedOn w:val="60"/>
    <w:autoRedefine/>
    <w:qFormat/>
    <w:uiPriority w:val="0"/>
  </w:style>
  <w:style w:type="character" w:customStyle="1" w:styleId="265">
    <w:name w:val="16"/>
    <w:basedOn w:val="60"/>
    <w:autoRedefine/>
    <w:qFormat/>
    <w:uiPriority w:val="0"/>
  </w:style>
  <w:style w:type="character" w:customStyle="1" w:styleId="266">
    <w:name w:val="正文缩进 Char2"/>
    <w:basedOn w:val="60"/>
    <w:autoRedefine/>
    <w:qFormat/>
    <w:uiPriority w:val="0"/>
    <w:rPr>
      <w:rFonts w:hint="eastAsia" w:ascii="黑体" w:hAnsi="宋体" w:eastAsia="黑体" w:cs="黑体"/>
      <w:kern w:val="2"/>
      <w:sz w:val="24"/>
      <w:szCs w:val="21"/>
    </w:rPr>
  </w:style>
  <w:style w:type="character" w:customStyle="1" w:styleId="267">
    <w:name w:val="报告文本 Char"/>
    <w:basedOn w:val="60"/>
    <w:link w:val="268"/>
    <w:autoRedefine/>
    <w:qFormat/>
    <w:uiPriority w:val="0"/>
    <w:rPr>
      <w:sz w:val="24"/>
      <w:szCs w:val="24"/>
    </w:rPr>
  </w:style>
  <w:style w:type="paragraph" w:customStyle="1" w:styleId="268">
    <w:name w:val="报告文本"/>
    <w:basedOn w:val="1"/>
    <w:link w:val="267"/>
    <w:autoRedefine/>
    <w:qFormat/>
    <w:uiPriority w:val="0"/>
    <w:pPr>
      <w:widowControl/>
      <w:spacing w:line="360" w:lineRule="auto"/>
      <w:ind w:firstLine="200" w:firstLineChars="200"/>
      <w:jc w:val="left"/>
    </w:pPr>
    <w:rPr>
      <w:rFonts w:ascii="Times New Roman" w:hAnsi="Times New Roman" w:eastAsia="宋体" w:cs="Times New Roman"/>
      <w:kern w:val="0"/>
      <w:sz w:val="24"/>
      <w:szCs w:val="24"/>
    </w:rPr>
  </w:style>
  <w:style w:type="character" w:customStyle="1" w:styleId="269">
    <w:name w:val="标题 7 Char Char"/>
    <w:basedOn w:val="60"/>
    <w:autoRedefine/>
    <w:qFormat/>
    <w:uiPriority w:val="0"/>
    <w:rPr>
      <w:rFonts w:hint="eastAsia" w:ascii="宋体" w:hAnsi="宋体" w:eastAsia="宋体" w:cs="宋体"/>
      <w:b/>
      <w:bCs/>
      <w:kern w:val="2"/>
      <w:sz w:val="24"/>
      <w:szCs w:val="24"/>
      <w:lang w:val="en-US" w:eastAsia="zh-CN"/>
    </w:rPr>
  </w:style>
  <w:style w:type="character" w:customStyle="1" w:styleId="270">
    <w:name w:val="正文01 Char Char"/>
    <w:basedOn w:val="60"/>
    <w:link w:val="271"/>
    <w:autoRedefine/>
    <w:qFormat/>
    <w:uiPriority w:val="0"/>
    <w:rPr>
      <w:bCs/>
      <w:kern w:val="2"/>
      <w:sz w:val="24"/>
      <w:szCs w:val="24"/>
    </w:rPr>
  </w:style>
  <w:style w:type="paragraph" w:customStyle="1" w:styleId="271">
    <w:name w:val="正文01"/>
    <w:basedOn w:val="1"/>
    <w:link w:val="270"/>
    <w:autoRedefine/>
    <w:qFormat/>
    <w:uiPriority w:val="0"/>
    <w:pPr>
      <w:adjustRightInd w:val="0"/>
      <w:spacing w:line="360" w:lineRule="auto"/>
      <w:ind w:firstLine="360" w:firstLineChars="150"/>
      <w:textAlignment w:val="baseline"/>
    </w:pPr>
    <w:rPr>
      <w:rFonts w:ascii="Times New Roman" w:hAnsi="Times New Roman" w:eastAsia="宋体" w:cs="Times New Roman"/>
      <w:bCs/>
      <w:sz w:val="24"/>
      <w:szCs w:val="24"/>
    </w:rPr>
  </w:style>
  <w:style w:type="character" w:customStyle="1" w:styleId="272">
    <w:name w:val="表格第一行 Char Char"/>
    <w:basedOn w:val="60"/>
    <w:link w:val="273"/>
    <w:autoRedefine/>
    <w:qFormat/>
    <w:uiPriority w:val="0"/>
    <w:rPr>
      <w:b/>
      <w:szCs w:val="21"/>
    </w:rPr>
  </w:style>
  <w:style w:type="paragraph" w:customStyle="1" w:styleId="273">
    <w:name w:val="表格第一行"/>
    <w:basedOn w:val="1"/>
    <w:link w:val="272"/>
    <w:autoRedefine/>
    <w:qFormat/>
    <w:uiPriority w:val="0"/>
    <w:pPr>
      <w:widowControl/>
      <w:adjustRightInd w:val="0"/>
      <w:snapToGrid w:val="0"/>
      <w:spacing w:before="156" w:after="156"/>
      <w:jc w:val="center"/>
      <w:textAlignment w:val="baseline"/>
    </w:pPr>
    <w:rPr>
      <w:rFonts w:ascii="Times New Roman" w:hAnsi="Times New Roman" w:eastAsia="宋体" w:cs="Times New Roman"/>
      <w:b/>
      <w:kern w:val="0"/>
      <w:sz w:val="20"/>
      <w:szCs w:val="21"/>
    </w:rPr>
  </w:style>
  <w:style w:type="character" w:customStyle="1" w:styleId="274">
    <w:name w:val="正文文字 Char"/>
    <w:basedOn w:val="60"/>
    <w:link w:val="275"/>
    <w:autoRedefine/>
    <w:qFormat/>
    <w:uiPriority w:val="0"/>
    <w:rPr>
      <w:kern w:val="2"/>
      <w:sz w:val="24"/>
      <w:szCs w:val="24"/>
    </w:rPr>
  </w:style>
  <w:style w:type="paragraph" w:customStyle="1" w:styleId="275">
    <w:name w:val="正文文字"/>
    <w:basedOn w:val="17"/>
    <w:link w:val="274"/>
    <w:autoRedefine/>
    <w:qFormat/>
    <w:uiPriority w:val="0"/>
    <w:pPr>
      <w:ind w:firstLine="200" w:firstLineChars="200"/>
      <w:jc w:val="both"/>
    </w:pPr>
    <w:rPr>
      <w:rFonts w:eastAsia="宋体"/>
      <w:szCs w:val="24"/>
    </w:rPr>
  </w:style>
  <w:style w:type="character" w:customStyle="1" w:styleId="276">
    <w:name w:val="表格文字 Char Char"/>
    <w:basedOn w:val="60"/>
    <w:autoRedefine/>
    <w:qFormat/>
    <w:uiPriority w:val="0"/>
    <w:rPr>
      <w:position w:val="-10"/>
    </w:rPr>
  </w:style>
  <w:style w:type="character" w:customStyle="1" w:styleId="277">
    <w:name w:val="一级条 Char"/>
    <w:basedOn w:val="60"/>
    <w:autoRedefine/>
    <w:qFormat/>
    <w:uiPriority w:val="0"/>
    <w:rPr>
      <w:rFonts w:hint="eastAsia" w:ascii="黑体" w:hAnsi="宋体" w:eastAsia="黑体" w:cs="黑体"/>
      <w:bCs/>
      <w:kern w:val="2"/>
      <w:sz w:val="28"/>
      <w:szCs w:val="32"/>
      <w:lang w:val="en-US" w:eastAsia="zh-CN"/>
    </w:rPr>
  </w:style>
  <w:style w:type="character" w:customStyle="1" w:styleId="278">
    <w:name w:val="se"/>
    <w:basedOn w:val="60"/>
    <w:autoRedefine/>
    <w:qFormat/>
    <w:uiPriority w:val="0"/>
  </w:style>
  <w:style w:type="character" w:customStyle="1" w:styleId="279">
    <w:name w:val="Char Char1 Char"/>
    <w:basedOn w:val="60"/>
    <w:link w:val="280"/>
    <w:autoRedefine/>
    <w:qFormat/>
    <w:uiPriority w:val="0"/>
    <w:rPr>
      <w:rFonts w:hint="eastAsia" w:ascii="宋体" w:hAnsi="宋体" w:eastAsia="宋体" w:cs="宋体"/>
      <w:sz w:val="24"/>
      <w:szCs w:val="24"/>
      <w:lang w:eastAsia="en-US" w:bidi="en-US"/>
    </w:rPr>
  </w:style>
  <w:style w:type="paragraph" w:customStyle="1" w:styleId="280">
    <w:name w:val="Char Char1"/>
    <w:basedOn w:val="1"/>
    <w:link w:val="279"/>
    <w:autoRedefine/>
    <w:qFormat/>
    <w:uiPriority w:val="0"/>
    <w:pPr>
      <w:widowControl/>
      <w:spacing w:line="360" w:lineRule="auto"/>
      <w:ind w:firstLine="200" w:firstLineChars="200"/>
    </w:pPr>
    <w:rPr>
      <w:rFonts w:hint="eastAsia" w:ascii="宋体" w:hAnsi="宋体" w:eastAsia="宋体" w:cs="宋体"/>
      <w:kern w:val="0"/>
      <w:sz w:val="24"/>
      <w:szCs w:val="24"/>
      <w:lang w:eastAsia="en-US" w:bidi="en-US"/>
    </w:rPr>
  </w:style>
  <w:style w:type="character" w:customStyle="1" w:styleId="281">
    <w:name w:val="三级 Char Char"/>
    <w:basedOn w:val="60"/>
    <w:link w:val="282"/>
    <w:autoRedefine/>
    <w:qFormat/>
    <w:uiPriority w:val="0"/>
    <w:rPr>
      <w:b/>
      <w:kern w:val="2"/>
      <w:sz w:val="24"/>
    </w:rPr>
  </w:style>
  <w:style w:type="paragraph" w:customStyle="1" w:styleId="282">
    <w:name w:val="三级"/>
    <w:basedOn w:val="1"/>
    <w:link w:val="281"/>
    <w:autoRedefine/>
    <w:qFormat/>
    <w:uiPriority w:val="0"/>
    <w:pPr>
      <w:tabs>
        <w:tab w:val="left" w:pos="567"/>
      </w:tabs>
      <w:spacing w:beforeLines="50" w:afterLines="50" w:line="360" w:lineRule="auto"/>
      <w:ind w:left="720" w:hanging="720"/>
      <w:outlineLvl w:val="2"/>
    </w:pPr>
    <w:rPr>
      <w:rFonts w:ascii="Times New Roman" w:hAnsi="Times New Roman" w:eastAsia="宋体" w:cs="Times New Roman"/>
      <w:b/>
      <w:sz w:val="24"/>
      <w:szCs w:val="20"/>
    </w:rPr>
  </w:style>
  <w:style w:type="character" w:customStyle="1" w:styleId="283">
    <w:name w:val="style6"/>
    <w:basedOn w:val="60"/>
    <w:autoRedefine/>
    <w:qFormat/>
    <w:uiPriority w:val="0"/>
  </w:style>
  <w:style w:type="character" w:customStyle="1" w:styleId="284">
    <w:name w:val="javascript"/>
    <w:basedOn w:val="60"/>
    <w:autoRedefine/>
    <w:qFormat/>
    <w:uiPriority w:val="0"/>
  </w:style>
  <w:style w:type="character" w:customStyle="1" w:styleId="285">
    <w:name w:val="魏秀珍  报告正文1 Char Char"/>
    <w:basedOn w:val="60"/>
    <w:link w:val="286"/>
    <w:autoRedefine/>
    <w:qFormat/>
    <w:uiPriority w:val="0"/>
    <w:rPr>
      <w:rFonts w:hint="eastAsia" w:ascii="宋体" w:hAnsi="宋体" w:eastAsia="宋体" w:cs="宋体"/>
      <w:kern w:val="2"/>
      <w:sz w:val="24"/>
    </w:rPr>
  </w:style>
  <w:style w:type="paragraph" w:customStyle="1" w:styleId="286">
    <w:name w:val="魏秀珍  报告正文1"/>
    <w:basedOn w:val="1"/>
    <w:link w:val="285"/>
    <w:autoRedefine/>
    <w:qFormat/>
    <w:uiPriority w:val="0"/>
    <w:pPr>
      <w:adjustRightInd w:val="0"/>
      <w:snapToGrid w:val="0"/>
      <w:spacing w:line="360" w:lineRule="auto"/>
      <w:ind w:firstLine="200" w:firstLineChars="200"/>
    </w:pPr>
    <w:rPr>
      <w:rFonts w:hint="eastAsia" w:ascii="宋体" w:hAnsi="宋体" w:eastAsia="宋体" w:cs="宋体"/>
      <w:sz w:val="24"/>
      <w:szCs w:val="20"/>
    </w:rPr>
  </w:style>
  <w:style w:type="character" w:customStyle="1" w:styleId="287">
    <w:name w:val="正文文本 (2) + Georgia1"/>
    <w:basedOn w:val="60"/>
    <w:autoRedefine/>
    <w:qFormat/>
    <w:uiPriority w:val="0"/>
    <w:rPr>
      <w:rFonts w:hint="default" w:ascii="Georgia" w:hAnsi="Georgia" w:eastAsia="Times New Roman" w:cs="Georgia"/>
      <w:kern w:val="0"/>
      <w:sz w:val="20"/>
      <w:szCs w:val="20"/>
      <w:lang w:val="en-US" w:eastAsia="en-US"/>
    </w:rPr>
  </w:style>
  <w:style w:type="character" w:customStyle="1" w:styleId="288">
    <w:name w:val="样式11 Char"/>
    <w:basedOn w:val="60"/>
    <w:link w:val="289"/>
    <w:autoRedefine/>
    <w:qFormat/>
    <w:uiPriority w:val="0"/>
    <w:rPr>
      <w:color w:val="000000"/>
      <w:sz w:val="24"/>
      <w:u w:color="000000"/>
    </w:rPr>
  </w:style>
  <w:style w:type="paragraph" w:customStyle="1" w:styleId="289">
    <w:name w:val="样式11"/>
    <w:basedOn w:val="1"/>
    <w:link w:val="288"/>
    <w:autoRedefine/>
    <w:qFormat/>
    <w:uiPriority w:val="0"/>
    <w:pPr>
      <w:widowControl/>
      <w:spacing w:line="360" w:lineRule="auto"/>
      <w:ind w:firstLine="200" w:firstLineChars="200"/>
      <w:textAlignment w:val="baseline"/>
    </w:pPr>
    <w:rPr>
      <w:rFonts w:ascii="Times New Roman" w:hAnsi="Times New Roman" w:eastAsia="宋体" w:cs="Times New Roman"/>
      <w:color w:val="000000"/>
      <w:kern w:val="0"/>
      <w:sz w:val="24"/>
      <w:szCs w:val="20"/>
      <w:u w:color="000000"/>
    </w:rPr>
  </w:style>
  <w:style w:type="character" w:customStyle="1" w:styleId="290">
    <w:name w:val="Char Char35"/>
    <w:basedOn w:val="60"/>
    <w:autoRedefine/>
    <w:qFormat/>
    <w:uiPriority w:val="0"/>
    <w:rPr>
      <w:rFonts w:hint="eastAsia" w:ascii="宋体" w:hAnsi="宋体" w:eastAsia="宋体" w:cs="宋体"/>
      <w:bCs/>
      <w:kern w:val="2"/>
      <w:sz w:val="24"/>
      <w:szCs w:val="28"/>
      <w:lang w:val="en-US" w:eastAsia="zh-CN"/>
    </w:rPr>
  </w:style>
  <w:style w:type="character" w:customStyle="1" w:styleId="291">
    <w:name w:val="引用 Char1"/>
    <w:basedOn w:val="60"/>
    <w:autoRedefine/>
    <w:qFormat/>
    <w:uiPriority w:val="0"/>
    <w:rPr>
      <w:rFonts w:hint="default" w:ascii="Calibri" w:hAnsi="Calibri" w:cs="Calibri"/>
      <w:i/>
      <w:iCs/>
      <w:color w:val="000000"/>
      <w:kern w:val="2"/>
      <w:sz w:val="21"/>
      <w:szCs w:val="21"/>
    </w:rPr>
  </w:style>
  <w:style w:type="paragraph" w:styleId="292">
    <w:name w:val="Quote"/>
    <w:basedOn w:val="1"/>
    <w:next w:val="1"/>
    <w:link w:val="293"/>
    <w:autoRedefine/>
    <w:qFormat/>
    <w:uiPriority w:val="0"/>
    <w:rPr>
      <w:rFonts w:ascii="Calibri" w:hAnsi="Calibri" w:eastAsia="宋体" w:cs="Calibri"/>
      <w:i/>
      <w:iCs/>
      <w:color w:val="000000"/>
      <w:szCs w:val="21"/>
    </w:rPr>
  </w:style>
  <w:style w:type="character" w:customStyle="1" w:styleId="293">
    <w:name w:val="引用 字符"/>
    <w:basedOn w:val="60"/>
    <w:link w:val="292"/>
    <w:autoRedefine/>
    <w:semiHidden/>
    <w:qFormat/>
    <w:uiPriority w:val="99"/>
    <w:rPr>
      <w:rFonts w:asciiTheme="minorHAnsi" w:hAnsiTheme="minorHAnsi" w:eastAsiaTheme="minorEastAsia" w:cstheme="minorBidi"/>
      <w:i/>
      <w:iCs/>
      <w:color w:val="000000" w:themeColor="text1"/>
      <w:kern w:val="2"/>
      <w:sz w:val="21"/>
      <w:szCs w:val="22"/>
      <w14:textFill>
        <w14:solidFill>
          <w14:schemeClr w14:val="tx1"/>
        </w14:solidFill>
      </w14:textFill>
    </w:rPr>
  </w:style>
  <w:style w:type="character" w:customStyle="1" w:styleId="294">
    <w:name w:val="日期 Char"/>
    <w:basedOn w:val="60"/>
    <w:autoRedefine/>
    <w:qFormat/>
    <w:uiPriority w:val="0"/>
  </w:style>
  <w:style w:type="character" w:customStyle="1" w:styleId="295">
    <w:name w:val="报告表正文 Char"/>
    <w:basedOn w:val="60"/>
    <w:autoRedefine/>
    <w:qFormat/>
    <w:uiPriority w:val="0"/>
    <w:rPr>
      <w:kern w:val="0"/>
    </w:rPr>
  </w:style>
  <w:style w:type="character" w:customStyle="1" w:styleId="296">
    <w:name w:val="postbody1"/>
    <w:basedOn w:val="60"/>
    <w:autoRedefine/>
    <w:qFormat/>
    <w:uiPriority w:val="0"/>
    <w:rPr>
      <w:sz w:val="21"/>
      <w:szCs w:val="21"/>
    </w:rPr>
  </w:style>
  <w:style w:type="character" w:customStyle="1" w:styleId="297">
    <w:name w:val="sh141"/>
    <w:basedOn w:val="60"/>
    <w:autoRedefine/>
    <w:qFormat/>
    <w:uiPriority w:val="0"/>
    <w:rPr>
      <w:color w:val="2B2B2B"/>
      <w:sz w:val="21"/>
      <w:szCs w:val="21"/>
    </w:rPr>
  </w:style>
  <w:style w:type="character" w:customStyle="1" w:styleId="298">
    <w:name w:val="样式5 Char"/>
    <w:basedOn w:val="60"/>
    <w:link w:val="41"/>
    <w:autoRedefine/>
    <w:qFormat/>
    <w:uiPriority w:val="0"/>
    <w:rPr>
      <w:kern w:val="2"/>
      <w:sz w:val="24"/>
      <w:szCs w:val="24"/>
    </w:rPr>
  </w:style>
  <w:style w:type="character" w:customStyle="1" w:styleId="299">
    <w:name w:val="正文首行缩进 字符"/>
    <w:basedOn w:val="60"/>
    <w:autoRedefine/>
    <w:qFormat/>
    <w:uiPriority w:val="0"/>
    <w:rPr>
      <w:rFonts w:hint="default" w:ascii="Times New Roman" w:hAnsi="Times New Roman" w:cs="Times New Roman"/>
      <w:kern w:val="2"/>
      <w:sz w:val="24"/>
      <w:szCs w:val="21"/>
    </w:rPr>
  </w:style>
  <w:style w:type="character" w:customStyle="1" w:styleId="300">
    <w:name w:val="content1"/>
    <w:basedOn w:val="60"/>
    <w:autoRedefine/>
    <w:qFormat/>
    <w:uiPriority w:val="0"/>
    <w:rPr>
      <w:color w:val="000000"/>
      <w:sz w:val="20"/>
      <w:szCs w:val="20"/>
    </w:rPr>
  </w:style>
  <w:style w:type="character" w:customStyle="1" w:styleId="301">
    <w:name w:val="批注文字 Char"/>
    <w:basedOn w:val="60"/>
    <w:autoRedefine/>
    <w:qFormat/>
    <w:uiPriority w:val="0"/>
    <w:rPr>
      <w:rFonts w:hint="default" w:ascii="Calibri" w:hAnsi="Calibri" w:cs="Calibri"/>
      <w:sz w:val="21"/>
      <w:szCs w:val="21"/>
    </w:rPr>
  </w:style>
  <w:style w:type="character" w:customStyle="1" w:styleId="302">
    <w:name w:val="fontborder"/>
    <w:basedOn w:val="60"/>
    <w:autoRedefine/>
    <w:qFormat/>
    <w:uiPriority w:val="0"/>
    <w:rPr>
      <w:bdr w:val="single" w:color="000000" w:sz="6" w:space="0"/>
    </w:rPr>
  </w:style>
  <w:style w:type="character" w:customStyle="1" w:styleId="303">
    <w:name w:val="标题 2 Char1 Char"/>
    <w:basedOn w:val="60"/>
    <w:autoRedefine/>
    <w:qFormat/>
    <w:uiPriority w:val="0"/>
    <w:rPr>
      <w:rFonts w:hint="default" w:ascii="Arial" w:hAnsi="Arial" w:eastAsia="黑体" w:cs="Arial"/>
      <w:b/>
      <w:bCs/>
      <w:kern w:val="2"/>
      <w:sz w:val="32"/>
      <w:szCs w:val="32"/>
      <w:lang w:val="en-US" w:eastAsia="zh-CN"/>
    </w:rPr>
  </w:style>
  <w:style w:type="character" w:customStyle="1" w:styleId="304">
    <w:name w:val="Char Char38"/>
    <w:basedOn w:val="60"/>
    <w:autoRedefine/>
    <w:qFormat/>
    <w:uiPriority w:val="0"/>
    <w:rPr>
      <w:rFonts w:hint="eastAsia" w:ascii="黑体" w:hAnsi="宋体" w:eastAsia="黑体" w:cs="黑体"/>
      <w:bCs/>
      <w:kern w:val="44"/>
      <w:sz w:val="24"/>
      <w:szCs w:val="44"/>
      <w:lang w:val="en-US" w:eastAsia="zh-CN"/>
    </w:rPr>
  </w:style>
  <w:style w:type="character" w:customStyle="1" w:styleId="305">
    <w:name w:val="CJ 文本111 Char"/>
    <w:basedOn w:val="60"/>
    <w:link w:val="306"/>
    <w:autoRedefine/>
    <w:qFormat/>
    <w:uiPriority w:val="0"/>
    <w:rPr>
      <w:rFonts w:hint="default" w:ascii="Arial" w:hAnsi="Arial" w:cs="Arial"/>
      <w:kern w:val="2"/>
      <w:sz w:val="24"/>
      <w:szCs w:val="24"/>
    </w:rPr>
  </w:style>
  <w:style w:type="paragraph" w:customStyle="1" w:styleId="306">
    <w:name w:val="CJ 文本111"/>
    <w:basedOn w:val="25"/>
    <w:link w:val="305"/>
    <w:autoRedefine/>
    <w:qFormat/>
    <w:uiPriority w:val="0"/>
    <w:pPr>
      <w:spacing w:after="0" w:line="360" w:lineRule="auto"/>
      <w:ind w:left="0" w:leftChars="0" w:firstLine="200" w:firstLineChars="200"/>
      <w:jc w:val="left"/>
    </w:pPr>
    <w:rPr>
      <w:rFonts w:ascii="Arial" w:hAnsi="Arial" w:eastAsia="宋体" w:cs="Arial"/>
      <w:sz w:val="24"/>
      <w:szCs w:val="24"/>
    </w:rPr>
  </w:style>
  <w:style w:type="character" w:customStyle="1" w:styleId="307">
    <w:name w:val="样式 (符号) 宋体 小四 行距: 1.5 倍行距 Char Char"/>
    <w:basedOn w:val="60"/>
    <w:autoRedefine/>
    <w:qFormat/>
    <w:uiPriority w:val="0"/>
    <w:rPr>
      <w:rFonts w:hint="eastAsia" w:ascii="宋体" w:hAnsi="宋体" w:eastAsia="宋体" w:cs="宋体"/>
      <w:kern w:val="2"/>
      <w:sz w:val="24"/>
      <w:szCs w:val="24"/>
    </w:rPr>
  </w:style>
  <w:style w:type="character" w:customStyle="1" w:styleId="308">
    <w:name w:val="样式 小四 黑色 行距: 固定值 26 磅 Char Char"/>
    <w:basedOn w:val="60"/>
    <w:link w:val="309"/>
    <w:autoRedefine/>
    <w:qFormat/>
    <w:uiPriority w:val="0"/>
    <w:rPr>
      <w:rFonts w:hint="eastAsia" w:ascii="宋体" w:hAnsi="宋体" w:eastAsia="宋体" w:cs="宋体"/>
      <w:color w:val="000000"/>
      <w:spacing w:val="6"/>
      <w:kern w:val="2"/>
      <w:sz w:val="24"/>
    </w:rPr>
  </w:style>
  <w:style w:type="paragraph" w:customStyle="1" w:styleId="309">
    <w:name w:val="样式 小四 黑色 行距: 固定值 26 磅"/>
    <w:basedOn w:val="1"/>
    <w:link w:val="308"/>
    <w:autoRedefine/>
    <w:qFormat/>
    <w:uiPriority w:val="0"/>
    <w:pPr>
      <w:spacing w:line="520" w:lineRule="exact"/>
      <w:ind w:firstLine="509" w:firstLineChars="202"/>
    </w:pPr>
    <w:rPr>
      <w:rFonts w:hint="eastAsia" w:ascii="宋体" w:hAnsi="宋体" w:eastAsia="宋体" w:cs="宋体"/>
      <w:color w:val="000000"/>
      <w:spacing w:val="6"/>
      <w:sz w:val="24"/>
      <w:szCs w:val="20"/>
    </w:rPr>
  </w:style>
  <w:style w:type="character" w:customStyle="1" w:styleId="310">
    <w:name w:val="正文1-1 Char"/>
    <w:basedOn w:val="60"/>
    <w:link w:val="311"/>
    <w:autoRedefine/>
    <w:qFormat/>
    <w:uiPriority w:val="0"/>
    <w:rPr>
      <w:rFonts w:hint="eastAsia" w:ascii="华文仿宋" w:hAnsi="华文仿宋" w:eastAsia="华文仿宋" w:cs="华文仿宋"/>
      <w:color w:val="000000"/>
      <w:kern w:val="2"/>
      <w:sz w:val="24"/>
      <w:szCs w:val="24"/>
    </w:rPr>
  </w:style>
  <w:style w:type="paragraph" w:customStyle="1" w:styleId="311">
    <w:name w:val="正文1-1"/>
    <w:basedOn w:val="1"/>
    <w:link w:val="310"/>
    <w:autoRedefine/>
    <w:qFormat/>
    <w:uiPriority w:val="0"/>
    <w:pPr>
      <w:tabs>
        <w:tab w:val="left" w:pos="5520"/>
        <w:tab w:val="left" w:pos="6360"/>
      </w:tabs>
      <w:adjustRightInd w:val="0"/>
      <w:snapToGrid w:val="0"/>
      <w:spacing w:line="360" w:lineRule="auto"/>
      <w:ind w:firstLine="480" w:firstLineChars="200"/>
    </w:pPr>
    <w:rPr>
      <w:rFonts w:hint="eastAsia" w:ascii="华文仿宋" w:hAnsi="华文仿宋" w:eastAsia="华文仿宋" w:cs="华文仿宋"/>
      <w:color w:val="000000"/>
      <w:sz w:val="24"/>
      <w:szCs w:val="24"/>
    </w:rPr>
  </w:style>
  <w:style w:type="character" w:customStyle="1" w:styleId="312">
    <w:name w:val="表格标题 Char"/>
    <w:basedOn w:val="60"/>
    <w:autoRedefine/>
    <w:qFormat/>
    <w:uiPriority w:val="0"/>
    <w:rPr>
      <w:rFonts w:hint="eastAsia" w:ascii="黑体" w:hAnsi="宋体" w:eastAsia="黑体" w:cs="黑体"/>
      <w:kern w:val="2"/>
      <w:sz w:val="24"/>
    </w:rPr>
  </w:style>
  <w:style w:type="character" w:customStyle="1" w:styleId="313">
    <w:name w:val="中气表头 Char"/>
    <w:basedOn w:val="60"/>
    <w:link w:val="314"/>
    <w:autoRedefine/>
    <w:qFormat/>
    <w:uiPriority w:val="0"/>
    <w:rPr>
      <w:rFonts w:hint="eastAsia" w:ascii="黑体" w:hAnsi="宋体" w:eastAsia="黑体" w:cs="黑体"/>
      <w:b/>
      <w:kern w:val="2"/>
      <w:sz w:val="21"/>
      <w:szCs w:val="21"/>
    </w:rPr>
  </w:style>
  <w:style w:type="paragraph" w:customStyle="1" w:styleId="314">
    <w:name w:val="中气表头"/>
    <w:basedOn w:val="1"/>
    <w:link w:val="313"/>
    <w:autoRedefine/>
    <w:qFormat/>
    <w:uiPriority w:val="0"/>
    <w:pPr>
      <w:jc w:val="center"/>
    </w:pPr>
    <w:rPr>
      <w:rFonts w:hint="eastAsia" w:ascii="黑体" w:hAnsi="宋体" w:eastAsia="黑体" w:cs="黑体"/>
      <w:b/>
      <w:szCs w:val="21"/>
    </w:rPr>
  </w:style>
  <w:style w:type="character" w:customStyle="1" w:styleId="315">
    <w:name w:val="样式 宋体 三号"/>
    <w:basedOn w:val="60"/>
    <w:autoRedefine/>
    <w:qFormat/>
    <w:uiPriority w:val="0"/>
    <w:rPr>
      <w:rFonts w:hint="eastAsia" w:ascii="宋体" w:hAnsi="宋体" w:eastAsia="宋体" w:cs="宋体"/>
      <w:kern w:val="2"/>
      <w:sz w:val="24"/>
      <w:szCs w:val="21"/>
      <w:lang w:val="en-US" w:eastAsia="zh-CN"/>
    </w:rPr>
  </w:style>
  <w:style w:type="character" w:customStyle="1" w:styleId="316">
    <w:name w:val="标题一级 Char Char"/>
    <w:basedOn w:val="60"/>
    <w:link w:val="317"/>
    <w:autoRedefine/>
    <w:qFormat/>
    <w:uiPriority w:val="0"/>
    <w:rPr>
      <w:b/>
      <w:bCs/>
      <w:sz w:val="24"/>
    </w:rPr>
  </w:style>
  <w:style w:type="paragraph" w:customStyle="1" w:styleId="317">
    <w:name w:val="标题一级"/>
    <w:basedOn w:val="2"/>
    <w:next w:val="1"/>
    <w:link w:val="316"/>
    <w:autoRedefine/>
    <w:qFormat/>
    <w:uiPriority w:val="0"/>
    <w:pPr>
      <w:keepNext w:val="0"/>
      <w:pageBreakBefore/>
      <w:widowControl/>
      <w:spacing w:line="360" w:lineRule="auto"/>
    </w:pPr>
    <w:rPr>
      <w:rFonts w:ascii="Times New Roman" w:hAnsi="Times New Roman" w:eastAsia="宋体" w:cs="Times New Roman"/>
      <w:bCs/>
      <w:kern w:val="0"/>
      <w:sz w:val="24"/>
      <w:szCs w:val="20"/>
    </w:rPr>
  </w:style>
  <w:style w:type="character" w:customStyle="1" w:styleId="318">
    <w:name w:val="表头样式1 Char1"/>
    <w:basedOn w:val="60"/>
    <w:link w:val="319"/>
    <w:autoRedefine/>
    <w:qFormat/>
    <w:uiPriority w:val="0"/>
    <w:rPr>
      <w:rFonts w:hint="eastAsia" w:ascii="黑体" w:hAnsi="宋体" w:eastAsia="黑体" w:cs="黑体"/>
      <w:b/>
      <w:kern w:val="2"/>
      <w:sz w:val="24"/>
    </w:rPr>
  </w:style>
  <w:style w:type="paragraph" w:customStyle="1" w:styleId="319">
    <w:name w:val="表头样式1"/>
    <w:basedOn w:val="1"/>
    <w:link w:val="318"/>
    <w:autoRedefine/>
    <w:qFormat/>
    <w:uiPriority w:val="0"/>
    <w:pPr>
      <w:spacing w:beforeLines="50"/>
      <w:jc w:val="center"/>
    </w:pPr>
    <w:rPr>
      <w:rFonts w:hint="eastAsia" w:ascii="黑体" w:hAnsi="宋体" w:eastAsia="黑体" w:cs="黑体"/>
      <w:b/>
      <w:sz w:val="24"/>
      <w:szCs w:val="20"/>
    </w:rPr>
  </w:style>
  <w:style w:type="character" w:customStyle="1" w:styleId="320">
    <w:name w:val="文档结构图 Char"/>
    <w:basedOn w:val="60"/>
    <w:autoRedefine/>
    <w:qFormat/>
    <w:uiPriority w:val="0"/>
    <w:rPr>
      <w:rFonts w:hint="eastAsia" w:ascii="宋体" w:hAnsi="宋体" w:eastAsia="宋体" w:cs="宋体"/>
      <w:sz w:val="18"/>
      <w:szCs w:val="18"/>
    </w:rPr>
  </w:style>
  <w:style w:type="character" w:customStyle="1" w:styleId="321">
    <w:name w:val="段落 Char1"/>
    <w:basedOn w:val="60"/>
    <w:autoRedefine/>
    <w:qFormat/>
    <w:uiPriority w:val="0"/>
    <w:rPr>
      <w:rFonts w:hint="eastAsia" w:ascii="宋体" w:hAnsi="宋体" w:eastAsia="宋体" w:cs="宋体"/>
      <w:color w:val="FF0000"/>
      <w:kern w:val="2"/>
      <w:sz w:val="24"/>
      <w:szCs w:val="24"/>
      <w:lang w:val="en-US" w:eastAsia="zh-CN"/>
    </w:rPr>
  </w:style>
  <w:style w:type="character" w:customStyle="1" w:styleId="322">
    <w:name w:val="表格标题 Char Char"/>
    <w:basedOn w:val="60"/>
    <w:autoRedefine/>
    <w:qFormat/>
    <w:uiPriority w:val="0"/>
    <w:rPr>
      <w:rFonts w:hint="eastAsia" w:ascii="宋体" w:hAnsi="宋体" w:eastAsia="宋体" w:cs="宋体"/>
      <w:kern w:val="2"/>
      <w:sz w:val="24"/>
      <w:szCs w:val="24"/>
      <w:lang w:val="en-US" w:eastAsia="zh-CN"/>
    </w:rPr>
  </w:style>
  <w:style w:type="character" w:customStyle="1" w:styleId="323">
    <w:name w:val="页脚 Char"/>
    <w:basedOn w:val="60"/>
    <w:autoRedefine/>
    <w:qFormat/>
    <w:uiPriority w:val="0"/>
    <w:rPr>
      <w:rFonts w:hint="eastAsia" w:ascii="宋体" w:hAnsi="宋体" w:eastAsia="宋体" w:cs="宋体"/>
      <w:kern w:val="2"/>
      <w:sz w:val="18"/>
      <w:szCs w:val="18"/>
      <w:lang w:val="en-US" w:eastAsia="zh-CN"/>
    </w:rPr>
  </w:style>
  <w:style w:type="character" w:customStyle="1" w:styleId="324">
    <w:name w:val="批注框文本 Char"/>
    <w:basedOn w:val="60"/>
    <w:autoRedefine/>
    <w:qFormat/>
    <w:uiPriority w:val="0"/>
    <w:rPr>
      <w:rFonts w:hint="eastAsia" w:ascii="宋体" w:hAnsi="宋体" w:eastAsia="宋体" w:cs="宋体"/>
      <w:kern w:val="2"/>
      <w:sz w:val="18"/>
      <w:szCs w:val="18"/>
      <w:lang w:val="en-US" w:eastAsia="zh-CN"/>
    </w:rPr>
  </w:style>
  <w:style w:type="character" w:customStyle="1" w:styleId="325">
    <w:name w:val="明显引用 Char1"/>
    <w:basedOn w:val="60"/>
    <w:autoRedefine/>
    <w:qFormat/>
    <w:uiPriority w:val="0"/>
    <w:rPr>
      <w:rFonts w:hint="default" w:ascii="Calibri" w:hAnsi="Calibri" w:cs="Calibri"/>
      <w:b/>
      <w:bCs/>
      <w:i/>
      <w:iCs/>
      <w:color w:val="4F81BD"/>
      <w:kern w:val="2"/>
      <w:sz w:val="21"/>
      <w:szCs w:val="21"/>
    </w:rPr>
  </w:style>
  <w:style w:type="paragraph" w:styleId="326">
    <w:name w:val="Intense Quote"/>
    <w:basedOn w:val="1"/>
    <w:next w:val="1"/>
    <w:link w:val="327"/>
    <w:autoRedefine/>
    <w:qFormat/>
    <w:uiPriority w:val="0"/>
    <w:pPr>
      <w:pBdr>
        <w:bottom w:val="single" w:color="4F81BD" w:sz="4" w:space="4"/>
      </w:pBdr>
      <w:spacing w:before="200" w:after="280"/>
      <w:ind w:left="936" w:right="936"/>
    </w:pPr>
    <w:rPr>
      <w:rFonts w:ascii="Calibri" w:hAnsi="Calibri" w:eastAsia="宋体" w:cs="Calibri"/>
      <w:b/>
      <w:bCs/>
      <w:i/>
      <w:iCs/>
      <w:color w:val="4F81BD"/>
      <w:szCs w:val="21"/>
    </w:rPr>
  </w:style>
  <w:style w:type="character" w:customStyle="1" w:styleId="327">
    <w:name w:val="明显引用 字符"/>
    <w:basedOn w:val="60"/>
    <w:link w:val="326"/>
    <w:autoRedefine/>
    <w:semiHidden/>
    <w:qFormat/>
    <w:uiPriority w:val="99"/>
    <w:rPr>
      <w:rFonts w:asciiTheme="minorHAnsi" w:hAnsiTheme="minorHAnsi" w:eastAsiaTheme="minorEastAsia" w:cstheme="minorBidi"/>
      <w:b/>
      <w:bCs/>
      <w:i/>
      <w:iCs/>
      <w:color w:val="4F81BD" w:themeColor="accent1"/>
      <w:kern w:val="2"/>
      <w:sz w:val="21"/>
      <w:szCs w:val="22"/>
      <w14:textFill>
        <w14:solidFill>
          <w14:schemeClr w14:val="accent1"/>
        </w14:solidFill>
      </w14:textFill>
    </w:rPr>
  </w:style>
  <w:style w:type="character" w:customStyle="1" w:styleId="328">
    <w:name w:val="表格五号字 Char"/>
    <w:basedOn w:val="60"/>
    <w:link w:val="329"/>
    <w:autoRedefine/>
    <w:qFormat/>
    <w:uiPriority w:val="0"/>
    <w:rPr>
      <w:rFonts w:hint="eastAsia" w:ascii="仿宋_GB2312" w:eastAsia="仿宋_GB2312" w:cs="仿宋_GB2312"/>
      <w:kern w:val="2"/>
      <w:sz w:val="21"/>
      <w:szCs w:val="24"/>
    </w:rPr>
  </w:style>
  <w:style w:type="paragraph" w:customStyle="1" w:styleId="329">
    <w:name w:val="表格五号字"/>
    <w:basedOn w:val="1"/>
    <w:link w:val="328"/>
    <w:autoRedefine/>
    <w:qFormat/>
    <w:uiPriority w:val="0"/>
    <w:pPr>
      <w:adjustRightInd w:val="0"/>
      <w:snapToGrid w:val="0"/>
      <w:jc w:val="center"/>
    </w:pPr>
    <w:rPr>
      <w:rFonts w:hint="eastAsia" w:ascii="仿宋_GB2312" w:hAnsi="Times New Roman" w:eastAsia="仿宋_GB2312" w:cs="仿宋_GB2312"/>
      <w:szCs w:val="24"/>
    </w:rPr>
  </w:style>
  <w:style w:type="character" w:customStyle="1" w:styleId="330">
    <w:name w:val="表格内文字 Char"/>
    <w:basedOn w:val="60"/>
    <w:link w:val="331"/>
    <w:autoRedefine/>
    <w:qFormat/>
    <w:uiPriority w:val="0"/>
    <w:rPr>
      <w:rFonts w:hint="eastAsia" w:ascii="仿宋_GB2312" w:eastAsia="仿宋_GB2312" w:cs="仿宋_GB2312"/>
      <w:kern w:val="2"/>
      <w:sz w:val="24"/>
      <w:szCs w:val="24"/>
    </w:rPr>
  </w:style>
  <w:style w:type="paragraph" w:customStyle="1" w:styleId="331">
    <w:name w:val="表格内文字"/>
    <w:basedOn w:val="1"/>
    <w:link w:val="330"/>
    <w:autoRedefine/>
    <w:qFormat/>
    <w:uiPriority w:val="0"/>
    <w:pPr>
      <w:tabs>
        <w:tab w:val="left" w:pos="0"/>
      </w:tabs>
      <w:adjustRightInd w:val="0"/>
      <w:snapToGrid w:val="0"/>
      <w:jc w:val="center"/>
    </w:pPr>
    <w:rPr>
      <w:rFonts w:hint="eastAsia" w:ascii="仿宋_GB2312" w:hAnsi="Times New Roman" w:eastAsia="仿宋_GB2312" w:cs="仿宋_GB2312"/>
      <w:sz w:val="24"/>
      <w:szCs w:val="24"/>
    </w:rPr>
  </w:style>
  <w:style w:type="character" w:customStyle="1" w:styleId="332">
    <w:name w:val="Char Char26"/>
    <w:basedOn w:val="60"/>
    <w:autoRedefine/>
    <w:qFormat/>
    <w:uiPriority w:val="0"/>
    <w:rPr>
      <w:rFonts w:hint="default" w:ascii="Calibri" w:hAnsi="Calibri" w:eastAsia="宋体" w:cs="Times New Roman"/>
      <w:kern w:val="2"/>
      <w:sz w:val="18"/>
      <w:szCs w:val="18"/>
    </w:rPr>
  </w:style>
  <w:style w:type="character" w:customStyle="1" w:styleId="333">
    <w:name w:val="表文 Char"/>
    <w:basedOn w:val="60"/>
    <w:link w:val="334"/>
    <w:autoRedefine/>
    <w:qFormat/>
    <w:uiPriority w:val="0"/>
    <w:rPr>
      <w:position w:val="-24"/>
      <w:sz w:val="21"/>
      <w:szCs w:val="21"/>
    </w:rPr>
  </w:style>
  <w:style w:type="paragraph" w:customStyle="1" w:styleId="334">
    <w:name w:val="表文"/>
    <w:basedOn w:val="1"/>
    <w:link w:val="333"/>
    <w:autoRedefine/>
    <w:qFormat/>
    <w:uiPriority w:val="0"/>
    <w:pPr>
      <w:tabs>
        <w:tab w:val="left" w:pos="1021"/>
      </w:tabs>
      <w:jc w:val="center"/>
    </w:pPr>
    <w:rPr>
      <w:rFonts w:ascii="Times New Roman" w:hAnsi="Times New Roman" w:eastAsia="宋体" w:cs="Times New Roman"/>
      <w:kern w:val="0"/>
      <w:position w:val="-24"/>
      <w:szCs w:val="21"/>
    </w:rPr>
  </w:style>
  <w:style w:type="character" w:customStyle="1" w:styleId="335">
    <w:name w:val="页眉 Char"/>
    <w:basedOn w:val="60"/>
    <w:autoRedefine/>
    <w:qFormat/>
    <w:uiPriority w:val="0"/>
    <w:rPr>
      <w:rFonts w:hint="eastAsia" w:ascii="宋体" w:hAnsi="宋体" w:eastAsia="宋体" w:cs="宋体"/>
      <w:kern w:val="2"/>
      <w:sz w:val="18"/>
      <w:szCs w:val="18"/>
      <w:lang w:val="en-US" w:eastAsia="zh-CN"/>
    </w:rPr>
  </w:style>
  <w:style w:type="character" w:customStyle="1" w:styleId="336">
    <w:name w:val="三级标题 Char Char"/>
    <w:basedOn w:val="60"/>
    <w:link w:val="337"/>
    <w:autoRedefine/>
    <w:qFormat/>
    <w:uiPriority w:val="0"/>
    <w:rPr>
      <w:b/>
      <w:bCs/>
      <w:kern w:val="2"/>
      <w:sz w:val="24"/>
      <w:szCs w:val="24"/>
    </w:rPr>
  </w:style>
  <w:style w:type="paragraph" w:customStyle="1" w:styleId="337">
    <w:name w:val="三级标题"/>
    <w:basedOn w:val="1"/>
    <w:link w:val="336"/>
    <w:autoRedefine/>
    <w:qFormat/>
    <w:uiPriority w:val="0"/>
    <w:pPr>
      <w:spacing w:before="300" w:line="460" w:lineRule="exact"/>
      <w:outlineLvl w:val="2"/>
    </w:pPr>
    <w:rPr>
      <w:rFonts w:ascii="Times New Roman" w:hAnsi="Times New Roman" w:eastAsia="宋体" w:cs="Times New Roman"/>
      <w:b/>
      <w:bCs/>
      <w:sz w:val="24"/>
      <w:szCs w:val="24"/>
    </w:rPr>
  </w:style>
  <w:style w:type="character" w:customStyle="1" w:styleId="338">
    <w:name w:val="Char Char34"/>
    <w:basedOn w:val="60"/>
    <w:autoRedefine/>
    <w:qFormat/>
    <w:uiPriority w:val="0"/>
    <w:rPr>
      <w:rFonts w:hint="default" w:ascii="Calibri" w:hAnsi="Calibri" w:eastAsia="宋体" w:cs="Calibri"/>
      <w:bCs/>
      <w:kern w:val="2"/>
      <w:sz w:val="24"/>
      <w:szCs w:val="28"/>
      <w:lang w:val="en-US" w:eastAsia="zh-CN"/>
    </w:rPr>
  </w:style>
  <w:style w:type="character" w:customStyle="1" w:styleId="339">
    <w:name w:val="样式 目录 1 + 首行缩进:  0.85 厘米1 Char"/>
    <w:basedOn w:val="60"/>
    <w:link w:val="340"/>
    <w:autoRedefine/>
    <w:qFormat/>
    <w:uiPriority w:val="0"/>
    <w:rPr>
      <w:rFonts w:hint="default" w:ascii="Calibri" w:hAnsi="Calibri" w:cs="宋体"/>
      <w:b/>
      <w:bCs/>
      <w:caps/>
      <w:kern w:val="2"/>
    </w:rPr>
  </w:style>
  <w:style w:type="paragraph" w:customStyle="1" w:styleId="340">
    <w:name w:val="样式 目录 1 + 首行缩进:  0.85 厘米1"/>
    <w:basedOn w:val="42"/>
    <w:link w:val="339"/>
    <w:autoRedefine/>
    <w:qFormat/>
    <w:uiPriority w:val="0"/>
    <w:pPr>
      <w:spacing w:before="120" w:after="120"/>
      <w:ind w:firstLine="482"/>
      <w:jc w:val="left"/>
    </w:pPr>
    <w:rPr>
      <w:rFonts w:ascii="Calibri" w:hAnsi="Calibri" w:eastAsia="宋体" w:cs="宋体"/>
      <w:b/>
      <w:bCs/>
      <w:caps/>
      <w:sz w:val="20"/>
      <w:szCs w:val="20"/>
    </w:rPr>
  </w:style>
  <w:style w:type="character" w:customStyle="1" w:styleId="341">
    <w:name w:val="text_edit editable-title"/>
    <w:basedOn w:val="60"/>
    <w:autoRedefine/>
    <w:qFormat/>
    <w:uiPriority w:val="0"/>
  </w:style>
  <w:style w:type="character" w:customStyle="1" w:styleId="342">
    <w:name w:val="Char Char19"/>
    <w:basedOn w:val="60"/>
    <w:autoRedefine/>
    <w:qFormat/>
    <w:uiPriority w:val="0"/>
    <w:rPr>
      <w:rFonts w:hint="eastAsia" w:ascii="宋体" w:hAnsi="宋体" w:eastAsia="宋体" w:cs="宋体"/>
      <w:kern w:val="2"/>
      <w:sz w:val="18"/>
      <w:lang w:val="en-US" w:eastAsia="zh-CN"/>
    </w:rPr>
  </w:style>
  <w:style w:type="character" w:customStyle="1" w:styleId="343">
    <w:name w:val="Char Char28"/>
    <w:basedOn w:val="60"/>
    <w:autoRedefine/>
    <w:qFormat/>
    <w:uiPriority w:val="0"/>
    <w:rPr>
      <w:rFonts w:hint="eastAsia" w:ascii="宋体" w:hAnsi="宋体" w:eastAsia="宋体" w:cs="宋体"/>
      <w:b/>
      <w:bCs/>
      <w:kern w:val="2"/>
      <w:sz w:val="32"/>
      <w:szCs w:val="32"/>
      <w:lang w:val="en-US" w:eastAsia="zh-CN"/>
    </w:rPr>
  </w:style>
  <w:style w:type="character" w:customStyle="1" w:styleId="344">
    <w:name w:val="君邦正文 Char1"/>
    <w:basedOn w:val="60"/>
    <w:link w:val="345"/>
    <w:autoRedefine/>
    <w:qFormat/>
    <w:uiPriority w:val="0"/>
    <w:rPr>
      <w:rFonts w:hint="default" w:ascii="Times New Roman" w:hAnsi="Times New Roman" w:eastAsia="Times New Roman" w:cs="Times New Roman"/>
      <w:snapToGrid w:val="0"/>
      <w:sz w:val="24"/>
      <w:szCs w:val="22"/>
    </w:rPr>
  </w:style>
  <w:style w:type="paragraph" w:customStyle="1" w:styleId="345">
    <w:name w:val="君邦正文"/>
    <w:link w:val="344"/>
    <w:autoRedefine/>
    <w:qFormat/>
    <w:uiPriority w:val="0"/>
    <w:pPr>
      <w:spacing w:after="60" w:line="360" w:lineRule="auto"/>
      <w:ind w:firstLine="480" w:firstLineChars="200"/>
      <w:jc w:val="both"/>
    </w:pPr>
    <w:rPr>
      <w:rFonts w:ascii="Times New Roman" w:hAnsi="Times New Roman" w:eastAsia="Times New Roman" w:cs="Times New Roman"/>
      <w:snapToGrid w:val="0"/>
      <w:sz w:val="24"/>
      <w:szCs w:val="22"/>
      <w:lang w:val="en-US" w:eastAsia="zh-CN" w:bidi="ar-SA"/>
    </w:rPr>
  </w:style>
  <w:style w:type="character" w:customStyle="1" w:styleId="346">
    <w:name w:val="标题3 Char"/>
    <w:basedOn w:val="60"/>
    <w:autoRedefine/>
    <w:qFormat/>
    <w:uiPriority w:val="0"/>
    <w:rPr>
      <w:rFonts w:hint="default" w:ascii="Times New Roman" w:hAnsi="Times New Roman" w:eastAsia="宋体" w:cs="Times New Roman"/>
      <w:kern w:val="2"/>
      <w:sz w:val="32"/>
      <w:szCs w:val="32"/>
    </w:rPr>
  </w:style>
  <w:style w:type="character" w:customStyle="1" w:styleId="347">
    <w:name w:val="文本 Char"/>
    <w:basedOn w:val="60"/>
    <w:link w:val="348"/>
    <w:autoRedefine/>
    <w:qFormat/>
    <w:uiPriority w:val="0"/>
    <w:rPr>
      <w:rFonts w:hint="eastAsia" w:ascii="宋体" w:hAnsi="宋体" w:eastAsia="宋体" w:cs="宋体"/>
      <w:kern w:val="2"/>
      <w:sz w:val="24"/>
      <w:szCs w:val="24"/>
    </w:rPr>
  </w:style>
  <w:style w:type="paragraph" w:customStyle="1" w:styleId="348">
    <w:name w:val="文本"/>
    <w:basedOn w:val="1"/>
    <w:link w:val="347"/>
    <w:autoRedefine/>
    <w:qFormat/>
    <w:uiPriority w:val="0"/>
    <w:pPr>
      <w:adjustRightInd w:val="0"/>
      <w:spacing w:line="500" w:lineRule="exact"/>
      <w:ind w:firstLine="480" w:firstLineChars="200"/>
    </w:pPr>
    <w:rPr>
      <w:rFonts w:hint="eastAsia" w:ascii="宋体" w:hAnsi="宋体" w:eastAsia="宋体" w:cs="宋体"/>
      <w:sz w:val="24"/>
      <w:szCs w:val="24"/>
    </w:rPr>
  </w:style>
  <w:style w:type="character" w:customStyle="1" w:styleId="349">
    <w:name w:val="文章正文样式 Char"/>
    <w:basedOn w:val="60"/>
    <w:link w:val="350"/>
    <w:autoRedefine/>
    <w:qFormat/>
    <w:uiPriority w:val="0"/>
    <w:rPr>
      <w:rFonts w:hint="eastAsia" w:ascii="宋体" w:hAnsi="宋体" w:eastAsia="宋体" w:cs="宋体"/>
      <w:kern w:val="2"/>
      <w:sz w:val="24"/>
    </w:rPr>
  </w:style>
  <w:style w:type="paragraph" w:customStyle="1" w:styleId="350">
    <w:name w:val="文章正文样式"/>
    <w:basedOn w:val="1"/>
    <w:link w:val="349"/>
    <w:autoRedefine/>
    <w:qFormat/>
    <w:uiPriority w:val="0"/>
    <w:pPr>
      <w:spacing w:line="520" w:lineRule="exact"/>
      <w:ind w:firstLine="480" w:firstLineChars="200"/>
      <w:jc w:val="left"/>
    </w:pPr>
    <w:rPr>
      <w:rFonts w:hint="eastAsia" w:ascii="宋体" w:hAnsi="宋体" w:eastAsia="宋体" w:cs="宋体"/>
      <w:sz w:val="24"/>
      <w:szCs w:val="20"/>
    </w:rPr>
  </w:style>
  <w:style w:type="character" w:customStyle="1" w:styleId="351">
    <w:name w:val="我的正文 Char"/>
    <w:basedOn w:val="60"/>
    <w:link w:val="352"/>
    <w:autoRedefine/>
    <w:qFormat/>
    <w:uiPriority w:val="0"/>
    <w:rPr>
      <w:sz w:val="28"/>
      <w:lang w:eastAsia="en-US" w:bidi="en-US"/>
    </w:rPr>
  </w:style>
  <w:style w:type="paragraph" w:customStyle="1" w:styleId="352">
    <w:name w:val="我的正文"/>
    <w:basedOn w:val="1"/>
    <w:link w:val="351"/>
    <w:autoRedefine/>
    <w:qFormat/>
    <w:uiPriority w:val="0"/>
    <w:pPr>
      <w:widowControl/>
      <w:ind w:firstLine="538"/>
    </w:pPr>
    <w:rPr>
      <w:rFonts w:ascii="Times New Roman" w:hAnsi="Times New Roman" w:eastAsia="宋体" w:cs="Times New Roman"/>
      <w:kern w:val="0"/>
      <w:sz w:val="28"/>
      <w:szCs w:val="20"/>
      <w:lang w:eastAsia="en-US" w:bidi="en-US"/>
    </w:rPr>
  </w:style>
  <w:style w:type="character" w:customStyle="1" w:styleId="353">
    <w:name w:val="amgfeg1"/>
    <w:basedOn w:val="60"/>
    <w:autoRedefine/>
    <w:qFormat/>
    <w:uiPriority w:val="0"/>
  </w:style>
  <w:style w:type="character" w:customStyle="1" w:styleId="354">
    <w:name w:val="font01"/>
    <w:basedOn w:val="60"/>
    <w:autoRedefine/>
    <w:qFormat/>
    <w:uiPriority w:val="0"/>
    <w:rPr>
      <w:rFonts w:hint="eastAsia" w:ascii="微软雅黑" w:hAnsi="微软雅黑" w:eastAsia="微软雅黑" w:cs="微软雅黑"/>
      <w:color w:val="000000"/>
      <w:sz w:val="24"/>
      <w:szCs w:val="24"/>
      <w:u w:val="none"/>
      <w:vertAlign w:val="superscript"/>
    </w:rPr>
  </w:style>
  <w:style w:type="character" w:customStyle="1" w:styleId="355">
    <w:name w:val="表内格式 Char1"/>
    <w:basedOn w:val="60"/>
    <w:link w:val="356"/>
    <w:autoRedefine/>
    <w:qFormat/>
    <w:uiPriority w:val="0"/>
    <w:rPr>
      <w:rFonts w:hint="eastAsia" w:ascii="宋体" w:hAnsi="Calibri" w:eastAsia="宋体" w:cs="宋体"/>
      <w:kern w:val="2"/>
      <w:sz w:val="18"/>
    </w:rPr>
  </w:style>
  <w:style w:type="paragraph" w:customStyle="1" w:styleId="356">
    <w:name w:val="表内格式"/>
    <w:basedOn w:val="1"/>
    <w:link w:val="355"/>
    <w:autoRedefine/>
    <w:qFormat/>
    <w:uiPriority w:val="0"/>
    <w:pPr>
      <w:spacing w:line="280" w:lineRule="exact"/>
      <w:jc w:val="center"/>
    </w:pPr>
    <w:rPr>
      <w:rFonts w:hint="eastAsia" w:ascii="宋体" w:hAnsi="Calibri" w:eastAsia="宋体" w:cs="宋体"/>
      <w:sz w:val="18"/>
      <w:szCs w:val="20"/>
    </w:rPr>
  </w:style>
  <w:style w:type="character" w:customStyle="1" w:styleId="357">
    <w:name w:val="Char Char36"/>
    <w:basedOn w:val="60"/>
    <w:autoRedefine/>
    <w:qFormat/>
    <w:uiPriority w:val="0"/>
    <w:rPr>
      <w:rFonts w:hint="eastAsia" w:ascii="宋体" w:hAnsi="宋体" w:eastAsia="宋体" w:cs="宋体"/>
      <w:bCs/>
      <w:kern w:val="2"/>
      <w:sz w:val="24"/>
      <w:szCs w:val="32"/>
      <w:lang w:val="en-US" w:eastAsia="zh-CN"/>
    </w:rPr>
  </w:style>
  <w:style w:type="character" w:customStyle="1" w:styleId="358">
    <w:name w:val="apple-converted-space"/>
    <w:basedOn w:val="60"/>
    <w:autoRedefine/>
    <w:qFormat/>
    <w:uiPriority w:val="0"/>
  </w:style>
  <w:style w:type="character" w:customStyle="1" w:styleId="359">
    <w:name w:val="明显引用 Char"/>
    <w:basedOn w:val="60"/>
    <w:autoRedefine/>
    <w:qFormat/>
    <w:uiPriority w:val="0"/>
    <w:rPr>
      <w:b/>
      <w:bCs/>
      <w:i/>
      <w:iCs/>
      <w:color w:val="4F81BD"/>
    </w:rPr>
  </w:style>
  <w:style w:type="character" w:customStyle="1" w:styleId="360">
    <w:name w:val="fontstrikethrough"/>
    <w:basedOn w:val="60"/>
    <w:autoRedefine/>
    <w:qFormat/>
    <w:uiPriority w:val="0"/>
    <w:rPr>
      <w:strike/>
    </w:rPr>
  </w:style>
  <w:style w:type="character" w:customStyle="1" w:styleId="361">
    <w:name w:val="样式 首行缩进:  2 字符 Char"/>
    <w:basedOn w:val="60"/>
    <w:link w:val="362"/>
    <w:autoRedefine/>
    <w:qFormat/>
    <w:uiPriority w:val="0"/>
    <w:rPr>
      <w:rFonts w:hint="eastAsia" w:ascii="宋体" w:hAnsi="宋体" w:eastAsia="宋体" w:cs="宋体"/>
      <w:sz w:val="24"/>
      <w:szCs w:val="24"/>
    </w:rPr>
  </w:style>
  <w:style w:type="paragraph" w:customStyle="1" w:styleId="362">
    <w:name w:val="样式 首行缩进:  2 字符"/>
    <w:basedOn w:val="1"/>
    <w:link w:val="361"/>
    <w:autoRedefine/>
    <w:qFormat/>
    <w:uiPriority w:val="0"/>
    <w:pPr>
      <w:autoSpaceDE w:val="0"/>
      <w:autoSpaceDN w:val="0"/>
      <w:adjustRightInd w:val="0"/>
      <w:snapToGrid w:val="0"/>
      <w:spacing w:line="360" w:lineRule="auto"/>
      <w:ind w:firstLine="480"/>
    </w:pPr>
    <w:rPr>
      <w:rFonts w:hint="eastAsia" w:ascii="宋体" w:hAnsi="宋体" w:eastAsia="宋体" w:cs="宋体"/>
      <w:kern w:val="0"/>
      <w:sz w:val="24"/>
      <w:szCs w:val="24"/>
    </w:rPr>
  </w:style>
  <w:style w:type="character" w:customStyle="1" w:styleId="363">
    <w:name w:val="标准正文 Char"/>
    <w:basedOn w:val="60"/>
    <w:link w:val="364"/>
    <w:autoRedefine/>
    <w:qFormat/>
    <w:uiPriority w:val="0"/>
    <w:rPr>
      <w:bCs/>
      <w:kern w:val="2"/>
      <w:sz w:val="24"/>
    </w:rPr>
  </w:style>
  <w:style w:type="paragraph" w:customStyle="1" w:styleId="364">
    <w:name w:val="标准正文"/>
    <w:basedOn w:val="1"/>
    <w:link w:val="363"/>
    <w:autoRedefine/>
    <w:qFormat/>
    <w:uiPriority w:val="0"/>
    <w:pPr>
      <w:spacing w:line="540" w:lineRule="exact"/>
      <w:ind w:firstLine="480" w:firstLineChars="200"/>
    </w:pPr>
    <w:rPr>
      <w:rFonts w:ascii="Times New Roman" w:hAnsi="Times New Roman" w:eastAsia="宋体" w:cs="Times New Roman"/>
      <w:bCs/>
      <w:sz w:val="24"/>
      <w:szCs w:val="20"/>
    </w:rPr>
  </w:style>
  <w:style w:type="character" w:customStyle="1" w:styleId="365">
    <w:name w:val="正文（公司） Char"/>
    <w:basedOn w:val="60"/>
    <w:link w:val="366"/>
    <w:autoRedefine/>
    <w:qFormat/>
    <w:uiPriority w:val="0"/>
    <w:rPr>
      <w:rFonts w:hint="eastAsia" w:ascii="仿宋_GB2312" w:eastAsia="仿宋_GB2312" w:cs="仿宋_GB2312"/>
      <w:sz w:val="28"/>
      <w:szCs w:val="28"/>
    </w:rPr>
  </w:style>
  <w:style w:type="paragraph" w:customStyle="1" w:styleId="366">
    <w:name w:val="正文（公司）"/>
    <w:basedOn w:val="1"/>
    <w:link w:val="365"/>
    <w:autoRedefine/>
    <w:qFormat/>
    <w:uiPriority w:val="0"/>
    <w:pPr>
      <w:spacing w:line="360" w:lineRule="auto"/>
      <w:ind w:firstLine="200" w:firstLineChars="200"/>
    </w:pPr>
    <w:rPr>
      <w:rFonts w:hint="eastAsia" w:ascii="仿宋_GB2312" w:hAnsi="Times New Roman" w:eastAsia="仿宋_GB2312" w:cs="仿宋_GB2312"/>
      <w:kern w:val="0"/>
      <w:sz w:val="28"/>
      <w:szCs w:val="28"/>
    </w:rPr>
  </w:style>
  <w:style w:type="character" w:customStyle="1" w:styleId="367">
    <w:name w:val="正文文本 (2) + 8.5 pt"/>
    <w:basedOn w:val="60"/>
    <w:autoRedefine/>
    <w:qFormat/>
    <w:uiPriority w:val="0"/>
    <w:rPr>
      <w:rFonts w:hint="eastAsia" w:ascii="宋体" w:hAnsi="宋体" w:eastAsia="宋体" w:cs="宋体"/>
      <w:spacing w:val="30"/>
      <w:kern w:val="0"/>
      <w:sz w:val="20"/>
      <w:szCs w:val="20"/>
    </w:rPr>
  </w:style>
  <w:style w:type="character" w:customStyle="1" w:styleId="368">
    <w:name w:val="font11"/>
    <w:basedOn w:val="60"/>
    <w:autoRedefine/>
    <w:qFormat/>
    <w:uiPriority w:val="0"/>
    <w:rPr>
      <w:rFonts w:hint="default" w:ascii="Times New Roman" w:hAnsi="Times New Roman" w:cs="Times New Roman"/>
      <w:color w:val="000000"/>
      <w:sz w:val="22"/>
      <w:szCs w:val="22"/>
      <w:u w:val="none"/>
    </w:rPr>
  </w:style>
  <w:style w:type="character" w:customStyle="1" w:styleId="369">
    <w:name w:val="lemmawgt-lemmatitle-title1"/>
    <w:basedOn w:val="60"/>
    <w:autoRedefine/>
    <w:qFormat/>
    <w:uiPriority w:val="0"/>
  </w:style>
  <w:style w:type="character" w:customStyle="1" w:styleId="370">
    <w:name w:val="Char1 Char Char"/>
    <w:basedOn w:val="60"/>
    <w:autoRedefine/>
    <w:qFormat/>
    <w:uiPriority w:val="0"/>
    <w:rPr>
      <w:kern w:val="2"/>
      <w:sz w:val="21"/>
      <w:szCs w:val="21"/>
    </w:rPr>
  </w:style>
  <w:style w:type="character" w:customStyle="1" w:styleId="371">
    <w:name w:val="图表头（公司） Char"/>
    <w:basedOn w:val="60"/>
    <w:link w:val="372"/>
    <w:autoRedefine/>
    <w:qFormat/>
    <w:uiPriority w:val="0"/>
    <w:rPr>
      <w:b/>
      <w:sz w:val="21"/>
      <w:szCs w:val="21"/>
    </w:rPr>
  </w:style>
  <w:style w:type="paragraph" w:customStyle="1" w:styleId="372">
    <w:name w:val="图表头（公司）"/>
    <w:basedOn w:val="1"/>
    <w:link w:val="371"/>
    <w:autoRedefine/>
    <w:qFormat/>
    <w:uiPriority w:val="0"/>
    <w:pPr>
      <w:spacing w:line="360" w:lineRule="auto"/>
      <w:jc w:val="center"/>
    </w:pPr>
    <w:rPr>
      <w:rFonts w:ascii="Times New Roman" w:hAnsi="Times New Roman" w:eastAsia="宋体" w:cs="Times New Roman"/>
      <w:b/>
      <w:kern w:val="0"/>
      <w:szCs w:val="21"/>
    </w:rPr>
  </w:style>
  <w:style w:type="character" w:customStyle="1" w:styleId="373">
    <w:name w:val="表格1 Char"/>
    <w:basedOn w:val="60"/>
    <w:link w:val="374"/>
    <w:autoRedefine/>
    <w:qFormat/>
    <w:uiPriority w:val="0"/>
    <w:rPr>
      <w:rFonts w:hint="default" w:ascii="CG Times (WN)" w:hAnsi="CG Times (WN)" w:eastAsia="CG Times (WN)" w:cs="CG Times (WN)"/>
      <w:sz w:val="21"/>
    </w:rPr>
  </w:style>
  <w:style w:type="paragraph" w:customStyle="1" w:styleId="374">
    <w:name w:val="表格1"/>
    <w:basedOn w:val="1"/>
    <w:link w:val="373"/>
    <w:autoRedefine/>
    <w:qFormat/>
    <w:uiPriority w:val="0"/>
    <w:pPr>
      <w:adjustRightInd w:val="0"/>
      <w:spacing w:line="360" w:lineRule="atLeast"/>
      <w:jc w:val="center"/>
      <w:textAlignment w:val="baseline"/>
    </w:pPr>
    <w:rPr>
      <w:rFonts w:ascii="CG Times (WN)" w:hAnsi="CG Times (WN)" w:eastAsia="CG Times (WN)" w:cs="CG Times (WN)"/>
      <w:kern w:val="0"/>
      <w:szCs w:val="20"/>
    </w:rPr>
  </w:style>
  <w:style w:type="character" w:customStyle="1" w:styleId="375">
    <w:name w:val="样式 标题 2SeHead wsa2H21标题 1.1Chapter TitleChapter节标题 1.1h... Char"/>
    <w:basedOn w:val="60"/>
    <w:link w:val="376"/>
    <w:autoRedefine/>
    <w:qFormat/>
    <w:uiPriority w:val="0"/>
    <w:rPr>
      <w:rFonts w:hint="eastAsia" w:ascii="方正黑体_GBK" w:hAnsi="方正黑体_GBK" w:eastAsia="方正黑体_GBK" w:cs="方正黑体_GBK"/>
      <w:b/>
      <w:kern w:val="2"/>
      <w:sz w:val="30"/>
    </w:rPr>
  </w:style>
  <w:style w:type="paragraph" w:customStyle="1" w:styleId="376">
    <w:name w:val="样式 标题 2SeHead wsa2H21标题 1.1Chapter TitleChapter节标题 1.1h..."/>
    <w:basedOn w:val="1"/>
    <w:next w:val="1"/>
    <w:link w:val="375"/>
    <w:autoRedefine/>
    <w:qFormat/>
    <w:uiPriority w:val="0"/>
    <w:pPr>
      <w:keepNext/>
      <w:snapToGrid w:val="0"/>
      <w:spacing w:line="420" w:lineRule="auto"/>
      <w:outlineLvl w:val="1"/>
    </w:pPr>
    <w:rPr>
      <w:rFonts w:hint="eastAsia" w:ascii="方正黑体_GBK" w:hAnsi="方正黑体_GBK" w:eastAsia="方正黑体_GBK" w:cs="方正黑体_GBK"/>
      <w:b/>
      <w:sz w:val="30"/>
      <w:szCs w:val="20"/>
    </w:rPr>
  </w:style>
  <w:style w:type="character" w:customStyle="1" w:styleId="377">
    <w:name w:val="预案内容 Char"/>
    <w:basedOn w:val="60"/>
    <w:link w:val="378"/>
    <w:autoRedefine/>
    <w:qFormat/>
    <w:uiPriority w:val="0"/>
    <w:rPr>
      <w:sz w:val="24"/>
    </w:rPr>
  </w:style>
  <w:style w:type="paragraph" w:customStyle="1" w:styleId="378">
    <w:name w:val="预案内容"/>
    <w:basedOn w:val="1"/>
    <w:link w:val="377"/>
    <w:autoRedefine/>
    <w:qFormat/>
    <w:uiPriority w:val="0"/>
    <w:pPr>
      <w:tabs>
        <w:tab w:val="left" w:pos="0"/>
      </w:tabs>
      <w:spacing w:line="480" w:lineRule="exact"/>
      <w:ind w:firstLine="880" w:firstLineChars="200"/>
    </w:pPr>
    <w:rPr>
      <w:rFonts w:ascii="Times New Roman" w:hAnsi="Times New Roman" w:eastAsia="宋体" w:cs="Times New Roman"/>
      <w:kern w:val="0"/>
      <w:sz w:val="24"/>
      <w:szCs w:val="20"/>
    </w:rPr>
  </w:style>
  <w:style w:type="character" w:customStyle="1" w:styleId="379">
    <w:name w:val="正文1 Char"/>
    <w:basedOn w:val="60"/>
    <w:autoRedefine/>
    <w:qFormat/>
    <w:uiPriority w:val="0"/>
    <w:rPr>
      <w:kern w:val="2"/>
      <w:sz w:val="24"/>
      <w:szCs w:val="24"/>
    </w:rPr>
  </w:style>
  <w:style w:type="character" w:customStyle="1" w:styleId="380">
    <w:name w:val="明显引用 Char2"/>
    <w:basedOn w:val="60"/>
    <w:autoRedefine/>
    <w:qFormat/>
    <w:uiPriority w:val="0"/>
    <w:rPr>
      <w:b/>
      <w:bCs/>
      <w:i/>
      <w:iCs/>
      <w:color w:val="4F81BD"/>
      <w:kern w:val="2"/>
      <w:sz w:val="21"/>
      <w:szCs w:val="21"/>
    </w:rPr>
  </w:style>
  <w:style w:type="table" w:customStyle="1" w:styleId="381">
    <w:name w:val="网格型2"/>
    <w:basedOn w:val="5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382">
    <w:name w:val="网格型刘2"/>
    <w:basedOn w:val="57"/>
    <w:autoRedefine/>
    <w:qFormat/>
    <w:uiPriority w:val="0"/>
    <w:pPr>
      <w:widowControl w:val="0"/>
      <w:jc w:val="center"/>
    </w:pPr>
    <w:tblPr>
      <w:tblBorders>
        <w:top w:val="single" w:color="auto" w:sz="12" w:space="0"/>
        <w:bottom w:val="single" w:color="auto" w:sz="12" w:space="0"/>
        <w:insideH w:val="single" w:color="auto" w:sz="4" w:space="0"/>
        <w:insideV w:val="single" w:color="auto" w:sz="4" w:space="0"/>
      </w:tblBorders>
    </w:tblPr>
    <w:tcPr>
      <w:tcBorders>
        <w:top w:val="single" w:color="auto" w:sz="12" w:space="0"/>
        <w:left w:val="nil"/>
        <w:bottom w:val="single" w:color="auto" w:sz="12" w:space="0"/>
        <w:right w:val="nil"/>
      </w:tcBorders>
      <w:vAlign w:val="center"/>
    </w:tcPr>
  </w:style>
  <w:style w:type="table" w:customStyle="1" w:styleId="383">
    <w:name w:val="列表型 41"/>
    <w:basedOn w:val="57"/>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tcBorders>
        <w:top w:val="single" w:color="000000" w:sz="12" w:space="0"/>
        <w:left w:val="single" w:color="000000" w:sz="12" w:space="0"/>
        <w:bottom w:val="single" w:color="000000" w:sz="12" w:space="0"/>
        <w:right w:val="single" w:color="000000" w:sz="12" w:space="0"/>
      </w:tcBorders>
    </w:tcPr>
    <w:tblStylePr w:type="firstRow">
      <w:rPr>
        <w:b/>
        <w:bCs/>
        <w:color w:val="FFFFFF"/>
      </w:rPr>
      <w:tcPr>
        <w:tcBorders>
          <w:top w:val="nil"/>
          <w:left w:val="nil"/>
          <w:bottom w:val="single" w:color="000000" w:sz="12" w:space="0"/>
          <w:right w:val="nil"/>
          <w:tl2br w:val="nil"/>
          <w:tr2bl w:val="nil"/>
        </w:tcBorders>
        <w:shd w:val="solid" w:color="808080" w:fill="FFFFFF"/>
      </w:tcPr>
    </w:tblStylePr>
  </w:style>
  <w:style w:type="table" w:customStyle="1" w:styleId="384">
    <w:name w:val="网格型1"/>
    <w:basedOn w:val="5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385">
    <w:name w:val="网格型刘1"/>
    <w:basedOn w:val="57"/>
    <w:autoRedefine/>
    <w:qFormat/>
    <w:uiPriority w:val="0"/>
    <w:pPr>
      <w:widowControl w:val="0"/>
      <w:jc w:val="center"/>
    </w:pPr>
    <w:tblPr>
      <w:tblBorders>
        <w:top w:val="single" w:color="auto" w:sz="12" w:space="0"/>
        <w:bottom w:val="single" w:color="auto" w:sz="12" w:space="0"/>
        <w:insideH w:val="single" w:color="auto" w:sz="4" w:space="0"/>
        <w:insideV w:val="single" w:color="auto" w:sz="4" w:space="0"/>
      </w:tblBorders>
    </w:tblPr>
    <w:tcPr>
      <w:tcBorders>
        <w:top w:val="single" w:color="auto" w:sz="12" w:space="0"/>
        <w:left w:val="nil"/>
        <w:bottom w:val="single" w:color="auto" w:sz="12" w:space="0"/>
        <w:right w:val="nil"/>
      </w:tcBorders>
      <w:vAlign w:val="center"/>
    </w:tcPr>
  </w:style>
  <w:style w:type="table" w:customStyle="1" w:styleId="386">
    <w:name w:val="Table Normal"/>
    <w:basedOn w:val="57"/>
    <w:autoRedefine/>
    <w:qFormat/>
    <w:uiPriority w:val="0"/>
    <w:pPr>
      <w:widowControl w:val="0"/>
    </w:pPr>
    <w:rPr>
      <w:rFonts w:ascii="Calibri" w:hAnsi="Calibri"/>
      <w:sz w:val="22"/>
      <w:szCs w:val="22"/>
      <w:lang w:eastAsia="en-US"/>
    </w:rPr>
    <w:tblPr>
      <w:tblCellMar>
        <w:left w:w="0" w:type="dxa"/>
        <w:right w:w="0" w:type="dxa"/>
      </w:tblCellMar>
    </w:tblPr>
  </w:style>
  <w:style w:type="paragraph" w:customStyle="1" w:styleId="387">
    <w:name w:val="表格中文字"/>
    <w:basedOn w:val="1"/>
    <w:autoRedefine/>
    <w:qFormat/>
    <w:uiPriority w:val="0"/>
    <w:pPr>
      <w:adjustRightInd w:val="0"/>
      <w:snapToGrid w:val="0"/>
      <w:jc w:val="center"/>
    </w:pPr>
    <w:rPr>
      <w:rFonts w:ascii="Times New Roman" w:hAnsi="Times New Roman" w:eastAsia="宋体" w:cs="Times New Roman"/>
      <w:kern w:val="18"/>
      <w:szCs w:val="21"/>
    </w:rPr>
  </w:style>
  <w:style w:type="paragraph" w:customStyle="1" w:styleId="388">
    <w:name w:val="表蕊"/>
    <w:basedOn w:val="1"/>
    <w:autoRedefine/>
    <w:qFormat/>
    <w:uiPriority w:val="0"/>
    <w:pPr>
      <w:spacing w:line="320" w:lineRule="atLeast"/>
      <w:jc w:val="left"/>
    </w:pPr>
    <w:rPr>
      <w:rFonts w:ascii="Times New Roman" w:hAnsi="Times New Roman" w:eastAsia="楷体_GB2312" w:cs="Times New Roman"/>
      <w:spacing w:val="-10"/>
      <w:kern w:val="0"/>
      <w:szCs w:val="20"/>
    </w:rPr>
  </w:style>
  <w:style w:type="paragraph" w:customStyle="1" w:styleId="389">
    <w:name w:val="表格标题"/>
    <w:basedOn w:val="56"/>
    <w:autoRedefine/>
    <w:qFormat/>
    <w:uiPriority w:val="0"/>
    <w:pPr>
      <w:spacing w:beforeLines="0"/>
      <w:ind w:firstLine="0" w:firstLineChars="0"/>
      <w:jc w:val="center"/>
    </w:pPr>
    <w:rPr>
      <w:rFonts w:eastAsia="黑体"/>
    </w:rPr>
  </w:style>
  <w:style w:type="character" w:customStyle="1" w:styleId="390">
    <w:name w:val="Char Char271"/>
    <w:autoRedefine/>
    <w:qFormat/>
    <w:uiPriority w:val="0"/>
    <w:rPr>
      <w:rFonts w:ascii="Calibri" w:hAnsi="Calibri" w:eastAsia="宋体" w:cs="Times New Roman"/>
      <w:kern w:val="2"/>
      <w:sz w:val="21"/>
      <w:szCs w:val="21"/>
    </w:rPr>
  </w:style>
  <w:style w:type="character" w:customStyle="1" w:styleId="391">
    <w:name w:val="Char Char41"/>
    <w:autoRedefine/>
    <w:qFormat/>
    <w:uiPriority w:val="0"/>
    <w:rPr>
      <w:rFonts w:ascii="Times New Roman" w:hAnsi="Times New Roman" w:eastAsia="宋体" w:cs="Times New Roman"/>
      <w:kern w:val="2"/>
      <w:sz w:val="28"/>
      <w:szCs w:val="20"/>
      <w:lang w:val="en-US" w:eastAsia="zh-CN" w:bidi="ar-SA"/>
    </w:rPr>
  </w:style>
  <w:style w:type="character" w:customStyle="1" w:styleId="392">
    <w:name w:val="Char Char371"/>
    <w:autoRedefine/>
    <w:qFormat/>
    <w:uiPriority w:val="0"/>
    <w:rPr>
      <w:rFonts w:eastAsia="黑体"/>
      <w:bCs/>
      <w:kern w:val="2"/>
      <w:sz w:val="24"/>
      <w:szCs w:val="32"/>
      <w:lang w:val="en-US" w:eastAsia="zh-CN" w:bidi="ar-SA"/>
    </w:rPr>
  </w:style>
  <w:style w:type="character" w:customStyle="1" w:styleId="393">
    <w:name w:val="Char Char201"/>
    <w:autoRedefine/>
    <w:qFormat/>
    <w:uiPriority w:val="0"/>
    <w:rPr>
      <w:rFonts w:ascii="Calibri" w:hAnsi="Calibri"/>
      <w:b/>
      <w:kern w:val="2"/>
      <w:sz w:val="24"/>
      <w:szCs w:val="21"/>
    </w:rPr>
  </w:style>
  <w:style w:type="character" w:customStyle="1" w:styleId="394">
    <w:name w:val="Char Char211"/>
    <w:autoRedefine/>
    <w:qFormat/>
    <w:uiPriority w:val="0"/>
    <w:rPr>
      <w:rFonts w:eastAsia="黑体"/>
      <w:sz w:val="32"/>
      <w:szCs w:val="32"/>
      <w:lang w:val="en-US" w:eastAsia="zh-CN" w:bidi="ar-SA"/>
    </w:rPr>
  </w:style>
  <w:style w:type="character" w:customStyle="1" w:styleId="395">
    <w:name w:val="Char Char351"/>
    <w:autoRedefine/>
    <w:qFormat/>
    <w:uiPriority w:val="0"/>
    <w:rPr>
      <w:rFonts w:eastAsia="宋体"/>
      <w:bCs/>
      <w:kern w:val="2"/>
      <w:sz w:val="24"/>
      <w:szCs w:val="28"/>
      <w:lang w:val="en-US" w:eastAsia="zh-CN" w:bidi="ar-SA"/>
    </w:rPr>
  </w:style>
  <w:style w:type="character" w:customStyle="1" w:styleId="396">
    <w:name w:val="不明显强调1"/>
    <w:autoRedefine/>
    <w:qFormat/>
    <w:uiPriority w:val="0"/>
    <w:rPr>
      <w:i/>
      <w:iCs/>
      <w:color w:val="808080"/>
    </w:rPr>
  </w:style>
  <w:style w:type="character" w:customStyle="1" w:styleId="397">
    <w:name w:val="Char Char381"/>
    <w:autoRedefine/>
    <w:qFormat/>
    <w:uiPriority w:val="0"/>
    <w:rPr>
      <w:rFonts w:eastAsia="黑体"/>
      <w:bCs/>
      <w:kern w:val="44"/>
      <w:sz w:val="24"/>
      <w:szCs w:val="44"/>
      <w:lang w:val="en-US" w:eastAsia="zh-CN" w:bidi="ar-SA"/>
    </w:rPr>
  </w:style>
  <w:style w:type="character" w:customStyle="1" w:styleId="398">
    <w:name w:val="明显参考1"/>
    <w:autoRedefine/>
    <w:qFormat/>
    <w:uiPriority w:val="0"/>
    <w:rPr>
      <w:b/>
      <w:bCs/>
      <w:smallCaps/>
      <w:color w:val="C0504D"/>
      <w:spacing w:val="5"/>
      <w:u w:val="single"/>
    </w:rPr>
  </w:style>
  <w:style w:type="character" w:customStyle="1" w:styleId="399">
    <w:name w:val="Char Char291"/>
    <w:autoRedefine/>
    <w:qFormat/>
    <w:uiPriority w:val="0"/>
    <w:rPr>
      <w:rFonts w:eastAsia="黑体"/>
      <w:bCs/>
      <w:kern w:val="2"/>
      <w:sz w:val="28"/>
      <w:szCs w:val="32"/>
      <w:lang w:val="en-US" w:eastAsia="zh-CN" w:bidi="ar-SA"/>
    </w:rPr>
  </w:style>
  <w:style w:type="character" w:customStyle="1" w:styleId="400">
    <w:name w:val="明显强调1"/>
    <w:autoRedefine/>
    <w:qFormat/>
    <w:uiPriority w:val="0"/>
    <w:rPr>
      <w:b/>
      <w:bCs/>
      <w:i/>
      <w:iCs/>
      <w:color w:val="4F81BD"/>
    </w:rPr>
  </w:style>
  <w:style w:type="character" w:customStyle="1" w:styleId="401">
    <w:name w:val="Char Char261"/>
    <w:autoRedefine/>
    <w:qFormat/>
    <w:uiPriority w:val="0"/>
    <w:rPr>
      <w:rFonts w:ascii="Calibri" w:hAnsi="Calibri" w:eastAsia="宋体" w:cs="Times New Roman"/>
      <w:kern w:val="2"/>
      <w:sz w:val="18"/>
      <w:szCs w:val="18"/>
    </w:rPr>
  </w:style>
  <w:style w:type="character" w:customStyle="1" w:styleId="402">
    <w:name w:val="不明显参考1"/>
    <w:autoRedefine/>
    <w:qFormat/>
    <w:uiPriority w:val="0"/>
    <w:rPr>
      <w:smallCaps/>
      <w:color w:val="C0504D"/>
      <w:u w:val="single"/>
    </w:rPr>
  </w:style>
  <w:style w:type="character" w:customStyle="1" w:styleId="403">
    <w:name w:val="Char Char191"/>
    <w:autoRedefine/>
    <w:qFormat/>
    <w:uiPriority w:val="0"/>
    <w:rPr>
      <w:rFonts w:eastAsia="宋体"/>
      <w:kern w:val="2"/>
      <w:sz w:val="18"/>
      <w:lang w:val="en-US" w:eastAsia="zh-CN" w:bidi="ar-SA"/>
    </w:rPr>
  </w:style>
  <w:style w:type="character" w:customStyle="1" w:styleId="404">
    <w:name w:val="Char Char281"/>
    <w:autoRedefine/>
    <w:qFormat/>
    <w:uiPriority w:val="0"/>
    <w:rPr>
      <w:rFonts w:eastAsia="宋体"/>
      <w:b/>
      <w:bCs/>
      <w:kern w:val="2"/>
      <w:sz w:val="32"/>
      <w:szCs w:val="32"/>
      <w:lang w:val="en-US" w:eastAsia="zh-CN" w:bidi="ar-SA"/>
    </w:rPr>
  </w:style>
  <w:style w:type="character" w:customStyle="1" w:styleId="405">
    <w:name w:val="Char Char361"/>
    <w:autoRedefine/>
    <w:qFormat/>
    <w:uiPriority w:val="0"/>
    <w:rPr>
      <w:rFonts w:eastAsia="宋体"/>
      <w:bCs/>
      <w:kern w:val="2"/>
      <w:sz w:val="24"/>
      <w:szCs w:val="32"/>
      <w:lang w:val="en-US" w:eastAsia="zh-CN" w:bidi="ar-SA"/>
    </w:rPr>
  </w:style>
  <w:style w:type="character" w:customStyle="1" w:styleId="406">
    <w:name w:val="Char Char341"/>
    <w:autoRedefine/>
    <w:qFormat/>
    <w:uiPriority w:val="0"/>
    <w:rPr>
      <w:rFonts w:ascii="Calibri" w:hAnsi="Calibri" w:eastAsia="宋体"/>
      <w:bCs/>
      <w:kern w:val="2"/>
      <w:sz w:val="24"/>
      <w:szCs w:val="28"/>
      <w:lang w:val="en-US" w:eastAsia="zh-CN" w:bidi="ar-SA"/>
    </w:rPr>
  </w:style>
  <w:style w:type="character" w:customStyle="1" w:styleId="407">
    <w:name w:val="书籍标题1"/>
    <w:autoRedefine/>
    <w:qFormat/>
    <w:uiPriority w:val="0"/>
    <w:rPr>
      <w:b/>
      <w:bCs/>
      <w:smallCaps/>
      <w:spacing w:val="5"/>
    </w:rPr>
  </w:style>
  <w:style w:type="character" w:customStyle="1" w:styleId="408">
    <w:name w:val="Char1 Char Char1"/>
    <w:link w:val="409"/>
    <w:autoRedefine/>
    <w:qFormat/>
    <w:uiPriority w:val="0"/>
    <w:rPr>
      <w:kern w:val="2"/>
      <w:sz w:val="21"/>
      <w:szCs w:val="21"/>
    </w:rPr>
  </w:style>
  <w:style w:type="paragraph" w:customStyle="1" w:styleId="409">
    <w:name w:val="Char1"/>
    <w:basedOn w:val="1"/>
    <w:link w:val="408"/>
    <w:autoRedefine/>
    <w:qFormat/>
    <w:uiPriority w:val="0"/>
    <w:rPr>
      <w:rFonts w:ascii="Times New Roman" w:hAnsi="Times New Roman" w:eastAsia="宋体" w:cs="Times New Roman"/>
      <w:szCs w:val="21"/>
    </w:rPr>
  </w:style>
  <w:style w:type="paragraph" w:customStyle="1" w:styleId="410">
    <w:name w:val="body"/>
    <w:basedOn w:val="1"/>
    <w:autoRedefine/>
    <w:qFormat/>
    <w:uiPriority w:val="0"/>
    <w:pPr>
      <w:spacing w:line="360" w:lineRule="auto"/>
      <w:ind w:firstLine="480" w:firstLineChars="200"/>
    </w:pPr>
    <w:rPr>
      <w:rFonts w:ascii="宋体" w:hAnsi="宋体" w:eastAsia="宋体" w:cs="Times New Roman"/>
      <w:sz w:val="24"/>
      <w:szCs w:val="20"/>
    </w:rPr>
  </w:style>
  <w:style w:type="paragraph" w:customStyle="1" w:styleId="411">
    <w:name w:val="正文0"/>
    <w:basedOn w:val="1"/>
    <w:autoRedefine/>
    <w:qFormat/>
    <w:uiPriority w:val="0"/>
    <w:pPr>
      <w:spacing w:beforeLines="50" w:line="500" w:lineRule="exact"/>
      <w:ind w:firstLine="960" w:firstLineChars="200"/>
    </w:pPr>
    <w:rPr>
      <w:rFonts w:ascii="Times New Roman" w:hAnsi="Times New Roman" w:eastAsia="宋体" w:cs="Times New Roman"/>
      <w:kern w:val="0"/>
      <w:szCs w:val="21"/>
    </w:rPr>
  </w:style>
  <w:style w:type="paragraph" w:customStyle="1" w:styleId="412">
    <w:name w:val="表内"/>
    <w:autoRedefine/>
    <w:qFormat/>
    <w:uiPriority w:val="0"/>
    <w:pPr>
      <w:adjustRightInd w:val="0"/>
      <w:snapToGrid w:val="0"/>
      <w:ind w:left="-105" w:leftChars="-50" w:right="-50" w:rightChars="-50"/>
      <w:jc w:val="center"/>
    </w:pPr>
    <w:rPr>
      <w:rFonts w:ascii="Times New Roman" w:hAnsi="Times New Roman" w:eastAsia="宋体" w:cs="Times New Roman"/>
      <w:sz w:val="21"/>
      <w:lang w:val="en-US" w:eastAsia="zh-CN" w:bidi="ar-SA"/>
    </w:rPr>
  </w:style>
  <w:style w:type="paragraph" w:customStyle="1" w:styleId="413">
    <w:name w:val="样式 标题 1 + (中文) 宋体 小三 行距: 多倍行距 1.35 字行"/>
    <w:basedOn w:val="2"/>
    <w:autoRedefine/>
    <w:qFormat/>
    <w:uiPriority w:val="0"/>
    <w:pPr>
      <w:tabs>
        <w:tab w:val="left" w:pos="3332"/>
      </w:tabs>
      <w:snapToGrid w:val="0"/>
      <w:spacing w:beforeLines="50" w:afterLines="50" w:line="300" w:lineRule="auto"/>
      <w:ind w:firstLine="540"/>
      <w:outlineLvl w:val="9"/>
    </w:pPr>
    <w:rPr>
      <w:rFonts w:ascii="仿宋_GB2312" w:hAnsi="华文楷体" w:eastAsia="仿宋_GB2312" w:cs="仿宋_GB2312"/>
      <w:b w:val="0"/>
      <w:sz w:val="24"/>
      <w:szCs w:val="24"/>
    </w:rPr>
  </w:style>
  <w:style w:type="paragraph" w:customStyle="1" w:styleId="414">
    <w:name w:val="xl22"/>
    <w:basedOn w:val="1"/>
    <w:autoRedefine/>
    <w:qFormat/>
    <w:uiPriority w:val="0"/>
    <w:pPr>
      <w:widowControl/>
      <w:spacing w:before="100" w:after="100"/>
      <w:jc w:val="center"/>
    </w:pPr>
    <w:rPr>
      <w:rFonts w:ascii="Times New Roman" w:hAnsi="Times New Roman" w:eastAsia="宋体" w:cs="Times New Roman"/>
      <w:kern w:val="0"/>
      <w:sz w:val="24"/>
      <w:szCs w:val="24"/>
    </w:rPr>
  </w:style>
  <w:style w:type="paragraph" w:customStyle="1" w:styleId="415">
    <w:name w:val="简单回函地址"/>
    <w:basedOn w:val="1"/>
    <w:next w:val="186"/>
    <w:autoRedefine/>
    <w:qFormat/>
    <w:uiPriority w:val="0"/>
    <w:rPr>
      <w:rFonts w:ascii="宋体" w:hAnsi="宋体" w:eastAsia="宋体" w:cs="Times New Roman"/>
      <w:sz w:val="24"/>
      <w:szCs w:val="32"/>
    </w:rPr>
  </w:style>
  <w:style w:type="paragraph" w:customStyle="1" w:styleId="416">
    <w:name w:val="报告书正文"/>
    <w:basedOn w:val="1"/>
    <w:autoRedefine/>
    <w:qFormat/>
    <w:uiPriority w:val="0"/>
    <w:pPr>
      <w:adjustRightInd w:val="0"/>
      <w:snapToGrid w:val="0"/>
      <w:spacing w:line="360" w:lineRule="auto"/>
      <w:ind w:firstLine="425"/>
      <w:textAlignment w:val="baseline"/>
    </w:pPr>
    <w:rPr>
      <w:rFonts w:ascii="Arial" w:hAnsi="Arial" w:eastAsia="宋体" w:cs="Times New Roman"/>
      <w:kern w:val="0"/>
      <w:sz w:val="24"/>
      <w:szCs w:val="24"/>
    </w:rPr>
  </w:style>
  <w:style w:type="paragraph" w:customStyle="1" w:styleId="417">
    <w:name w:val="表格 23"/>
    <w:basedOn w:val="1"/>
    <w:autoRedefine/>
    <w:qFormat/>
    <w:uiPriority w:val="0"/>
    <w:pPr>
      <w:autoSpaceDE w:val="0"/>
      <w:autoSpaceDN w:val="0"/>
      <w:adjustRightInd w:val="0"/>
      <w:jc w:val="center"/>
    </w:pPr>
    <w:rPr>
      <w:rFonts w:ascii="Times New Roman" w:hAnsi="Times New Roman" w:eastAsia="仿宋体" w:cs="Times New Roman"/>
      <w:kern w:val="0"/>
      <w:szCs w:val="21"/>
    </w:rPr>
  </w:style>
  <w:style w:type="paragraph" w:customStyle="1" w:styleId="418">
    <w:name w:val="ENFI表体"/>
    <w:basedOn w:val="1"/>
    <w:autoRedefine/>
    <w:qFormat/>
    <w:uiPriority w:val="0"/>
    <w:pPr>
      <w:widowControl/>
      <w:adjustRightInd w:val="0"/>
      <w:snapToGrid w:val="0"/>
      <w:spacing w:line="240" w:lineRule="atLeast"/>
      <w:jc w:val="center"/>
    </w:pPr>
    <w:rPr>
      <w:rFonts w:ascii="Times New Roman" w:hAnsi="Times New Roman" w:eastAsia="仿宋_GB2312" w:cs="Times New Roman"/>
      <w:kern w:val="0"/>
      <w:sz w:val="24"/>
      <w:szCs w:val="20"/>
    </w:rPr>
  </w:style>
  <w:style w:type="paragraph" w:customStyle="1" w:styleId="419">
    <w:name w:val="正文5"/>
    <w:autoRedefine/>
    <w:qFormat/>
    <w:uiPriority w:val="0"/>
    <w:pPr>
      <w:spacing w:line="360" w:lineRule="auto"/>
      <w:ind w:firstLine="200" w:firstLineChars="200"/>
    </w:pPr>
    <w:rPr>
      <w:rFonts w:ascii="Times New Roman" w:hAnsi="Times New Roman" w:eastAsia="宋体" w:cs="宋体"/>
      <w:sz w:val="24"/>
      <w:szCs w:val="22"/>
      <w:lang w:val="en-US" w:eastAsia="zh-CN" w:bidi="ar-SA"/>
    </w:rPr>
  </w:style>
  <w:style w:type="paragraph" w:customStyle="1" w:styleId="420">
    <w:name w:val="表格居中"/>
    <w:basedOn w:val="1"/>
    <w:autoRedefine/>
    <w:qFormat/>
    <w:uiPriority w:val="0"/>
    <w:pPr>
      <w:jc w:val="center"/>
    </w:pPr>
    <w:rPr>
      <w:rFonts w:ascii="Times New Roman" w:hAnsi="Times New Roman" w:eastAsia="宋体" w:cs="Times New Roman"/>
      <w:szCs w:val="21"/>
      <w:u w:color="000000"/>
    </w:rPr>
  </w:style>
  <w:style w:type="paragraph" w:customStyle="1" w:styleId="421">
    <w:name w:val="表格表头"/>
    <w:basedOn w:val="1"/>
    <w:autoRedefine/>
    <w:qFormat/>
    <w:uiPriority w:val="0"/>
    <w:pPr>
      <w:snapToGrid w:val="0"/>
      <w:spacing w:line="360" w:lineRule="auto"/>
      <w:jc w:val="center"/>
    </w:pPr>
    <w:rPr>
      <w:rFonts w:ascii="Calibri" w:hAnsi="Calibri" w:eastAsia="宋体" w:cs="Times New Roman"/>
      <w:b/>
      <w:sz w:val="24"/>
      <w:szCs w:val="21"/>
    </w:rPr>
  </w:style>
  <w:style w:type="paragraph" w:customStyle="1" w:styleId="422">
    <w:name w:val="ZW"/>
    <w:basedOn w:val="1"/>
    <w:autoRedefine/>
    <w:qFormat/>
    <w:uiPriority w:val="99"/>
    <w:pPr>
      <w:adjustRightInd w:val="0"/>
      <w:snapToGrid w:val="0"/>
      <w:spacing w:line="500" w:lineRule="exact"/>
      <w:ind w:firstLine="482"/>
      <w:jc w:val="left"/>
    </w:pPr>
    <w:rPr>
      <w:rFonts w:ascii="Times New Roman" w:hAnsi="宋体" w:eastAsia="宋体" w:cs="Times New Roman"/>
      <w:sz w:val="24"/>
      <w:szCs w:val="21"/>
    </w:rPr>
  </w:style>
  <w:style w:type="paragraph" w:customStyle="1" w:styleId="423">
    <w:name w:val="段落 Char Char2 Char Char"/>
    <w:basedOn w:val="1"/>
    <w:autoRedefine/>
    <w:qFormat/>
    <w:uiPriority w:val="0"/>
    <w:pPr>
      <w:spacing w:line="324" w:lineRule="auto"/>
      <w:ind w:firstLine="480" w:firstLineChars="200"/>
    </w:pPr>
    <w:rPr>
      <w:rFonts w:ascii="Times New Roman" w:hAnsi="Times New Roman" w:eastAsia="宋体" w:cs="Times New Roman"/>
      <w:kern w:val="24"/>
      <w:sz w:val="24"/>
      <w:szCs w:val="24"/>
    </w:rPr>
  </w:style>
  <w:style w:type="paragraph" w:customStyle="1" w:styleId="424">
    <w:name w:val="样式 标题 4 + 左侧:  0 厘米 首行缩进:  0 厘米"/>
    <w:basedOn w:val="6"/>
    <w:autoRedefine/>
    <w:qFormat/>
    <w:uiPriority w:val="0"/>
    <w:pPr>
      <w:adjustRightInd w:val="0"/>
      <w:snapToGrid w:val="0"/>
      <w:spacing w:line="360" w:lineRule="auto"/>
      <w:jc w:val="left"/>
    </w:pPr>
    <w:rPr>
      <w:rFonts w:ascii="Times New Roman" w:hAnsi="Times New Roman" w:eastAsia="宋体" w:cs="宋体"/>
      <w:b w:val="0"/>
      <w:sz w:val="24"/>
      <w:szCs w:val="20"/>
    </w:rPr>
  </w:style>
  <w:style w:type="paragraph" w:customStyle="1" w:styleId="425">
    <w:name w:val="CM50"/>
    <w:basedOn w:val="77"/>
    <w:next w:val="77"/>
    <w:autoRedefine/>
    <w:qFormat/>
    <w:uiPriority w:val="0"/>
    <w:pPr>
      <w:spacing w:line="443" w:lineRule="atLeast"/>
    </w:pPr>
    <w:rPr>
      <w:rFonts w:hAnsi="Calibri" w:eastAsia="宋体" w:cs="Times New Roman"/>
      <w:color w:val="auto"/>
      <w:kern w:val="0"/>
    </w:rPr>
  </w:style>
  <w:style w:type="paragraph" w:customStyle="1" w:styleId="426">
    <w:name w:val="_Style 24"/>
    <w:basedOn w:val="1"/>
    <w:next w:val="1"/>
    <w:autoRedefine/>
    <w:qFormat/>
    <w:uiPriority w:val="0"/>
    <w:pPr>
      <w:spacing w:line="360" w:lineRule="auto"/>
      <w:ind w:firstLine="200" w:firstLineChars="200"/>
    </w:pPr>
    <w:rPr>
      <w:rFonts w:ascii="Times New Roman" w:hAnsi="Times New Roman" w:eastAsia="宋体" w:cs="Times New Roman"/>
      <w:sz w:val="24"/>
      <w:szCs w:val="21"/>
    </w:rPr>
  </w:style>
  <w:style w:type="paragraph" w:customStyle="1" w:styleId="427">
    <w:name w:val="报告正文-连续目录"/>
    <w:basedOn w:val="1"/>
    <w:autoRedefine/>
    <w:qFormat/>
    <w:uiPriority w:val="0"/>
    <w:pPr>
      <w:spacing w:line="440" w:lineRule="exact"/>
      <w:ind w:firstLine="200" w:firstLineChars="200"/>
    </w:pPr>
    <w:rPr>
      <w:rFonts w:ascii="Arial" w:hAnsi="Arial" w:eastAsia="宋体" w:cs="Times New Roman"/>
      <w:snapToGrid w:val="0"/>
      <w:kern w:val="0"/>
      <w:sz w:val="24"/>
      <w:szCs w:val="24"/>
    </w:rPr>
  </w:style>
  <w:style w:type="paragraph" w:customStyle="1" w:styleId="428">
    <w:name w:val="WPS Plain"/>
    <w:autoRedefine/>
    <w:qFormat/>
    <w:uiPriority w:val="0"/>
    <w:rPr>
      <w:rFonts w:ascii="Times New Roman" w:hAnsi="Times New Roman" w:eastAsia="宋体" w:cs="Times New Roman"/>
      <w:sz w:val="24"/>
      <w:szCs w:val="24"/>
      <w:lang w:val="en-US" w:eastAsia="zh-CN" w:bidi="ar-SA"/>
    </w:rPr>
  </w:style>
  <w:style w:type="paragraph" w:customStyle="1" w:styleId="429">
    <w:name w:val="修订1"/>
    <w:autoRedefine/>
    <w:unhideWhenUsed/>
    <w:qFormat/>
    <w:uiPriority w:val="99"/>
    <w:rPr>
      <w:rFonts w:ascii="Times New Roman" w:hAnsi="Times New Roman" w:eastAsia="宋体" w:cs="Times New Roman"/>
      <w:kern w:val="2"/>
      <w:sz w:val="21"/>
      <w:lang w:val="en-US" w:eastAsia="zh-CN" w:bidi="ar-SA"/>
    </w:rPr>
  </w:style>
  <w:style w:type="paragraph" w:customStyle="1" w:styleId="430">
    <w:name w:val="CM6"/>
    <w:basedOn w:val="77"/>
    <w:next w:val="77"/>
    <w:autoRedefine/>
    <w:qFormat/>
    <w:uiPriority w:val="0"/>
    <w:pPr>
      <w:spacing w:line="466" w:lineRule="atLeast"/>
    </w:pPr>
    <w:rPr>
      <w:rFonts w:hAnsi="Calibri" w:eastAsia="宋体" w:cs="Times New Roman"/>
      <w:color w:val="auto"/>
      <w:kern w:val="0"/>
    </w:rPr>
  </w:style>
  <w:style w:type="paragraph" w:customStyle="1" w:styleId="431">
    <w:name w:val="Char1 Char Char Char"/>
    <w:basedOn w:val="1"/>
    <w:autoRedefine/>
    <w:qFormat/>
    <w:uiPriority w:val="0"/>
    <w:rPr>
      <w:rFonts w:ascii="Times New Roman" w:hAnsi="Times New Roman" w:eastAsia="宋体" w:cs="Times New Roman"/>
      <w:szCs w:val="24"/>
    </w:rPr>
  </w:style>
  <w:style w:type="paragraph" w:customStyle="1" w:styleId="432">
    <w:name w:val="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433">
    <w:name w:val="图文框"/>
    <w:basedOn w:val="1"/>
    <w:autoRedefine/>
    <w:qFormat/>
    <w:uiPriority w:val="0"/>
    <w:pPr>
      <w:adjustRightInd w:val="0"/>
      <w:snapToGrid w:val="0"/>
      <w:spacing w:line="240" w:lineRule="atLeast"/>
      <w:jc w:val="center"/>
    </w:pPr>
    <w:rPr>
      <w:rFonts w:ascii="Times New Roman" w:hAnsi="Times New Roman" w:eastAsia="宋体" w:cs="Times New Roman"/>
      <w:sz w:val="18"/>
      <w:szCs w:val="20"/>
    </w:rPr>
  </w:style>
  <w:style w:type="paragraph" w:customStyle="1" w:styleId="434">
    <w:name w:val="列出段落2"/>
    <w:basedOn w:val="1"/>
    <w:autoRedefine/>
    <w:qFormat/>
    <w:uiPriority w:val="0"/>
    <w:pPr>
      <w:ind w:firstLine="420" w:firstLineChars="200"/>
    </w:pPr>
    <w:rPr>
      <w:rFonts w:ascii="Calibri" w:hAnsi="Calibri" w:eastAsia="宋体" w:cs="Times New Roman"/>
    </w:rPr>
  </w:style>
  <w:style w:type="paragraph" w:customStyle="1" w:styleId="435">
    <w:name w:val="h"/>
    <w:basedOn w:val="1"/>
    <w:next w:val="17"/>
    <w:autoRedefine/>
    <w:qFormat/>
    <w:uiPriority w:val="0"/>
    <w:pPr>
      <w:keepNext/>
      <w:keepLines/>
      <w:spacing w:before="260" w:after="260" w:line="415" w:lineRule="auto"/>
      <w:ind w:firstLine="567"/>
    </w:pPr>
    <w:rPr>
      <w:rFonts w:ascii="Arial" w:hAnsi="Arial" w:eastAsia="黑体" w:cs="Arial"/>
      <w:sz w:val="30"/>
      <w:szCs w:val="30"/>
    </w:rPr>
  </w:style>
  <w:style w:type="paragraph" w:customStyle="1" w:styleId="436">
    <w:name w:val="样式23"/>
    <w:basedOn w:val="387"/>
    <w:autoRedefine/>
    <w:qFormat/>
    <w:uiPriority w:val="0"/>
    <w:pPr>
      <w:ind w:left="-105" w:leftChars="-50" w:right="-105" w:rightChars="-50"/>
    </w:pPr>
  </w:style>
  <w:style w:type="paragraph" w:customStyle="1" w:styleId="437">
    <w:name w:val="表 头"/>
    <w:basedOn w:val="438"/>
    <w:autoRedefine/>
    <w:qFormat/>
    <w:uiPriority w:val="99"/>
    <w:pPr>
      <w:topLinePunct/>
      <w:adjustRightInd w:val="0"/>
      <w:snapToGrid w:val="0"/>
      <w:ind w:firstLine="200" w:firstLineChars="200"/>
    </w:pPr>
    <w:rPr>
      <w:rFonts w:ascii="Calibri" w:hAnsi="Calibri"/>
      <w:b/>
      <w:szCs w:val="24"/>
    </w:rPr>
  </w:style>
  <w:style w:type="paragraph" w:customStyle="1" w:styleId="438">
    <w:name w:val="表格体"/>
    <w:basedOn w:val="439"/>
    <w:autoRedefine/>
    <w:qFormat/>
    <w:uiPriority w:val="0"/>
    <w:pPr>
      <w:jc w:val="center"/>
    </w:pPr>
    <w:rPr>
      <w:rFonts w:ascii="Times New Roman" w:hAnsi="Times New Roman"/>
      <w:szCs w:val="22"/>
    </w:rPr>
  </w:style>
  <w:style w:type="paragraph" w:styleId="439">
    <w:name w:val="No Spacing"/>
    <w:autoRedefine/>
    <w:qFormat/>
    <w:uiPriority w:val="0"/>
    <w:pPr>
      <w:widowControl w:val="0"/>
      <w:jc w:val="both"/>
    </w:pPr>
    <w:rPr>
      <w:rFonts w:ascii="Calibri" w:hAnsi="Calibri" w:eastAsia="宋体" w:cs="Times New Roman"/>
      <w:kern w:val="2"/>
      <w:sz w:val="21"/>
      <w:szCs w:val="21"/>
      <w:lang w:val="en-US" w:eastAsia="zh-CN" w:bidi="ar-SA"/>
    </w:rPr>
  </w:style>
  <w:style w:type="paragraph" w:customStyle="1" w:styleId="440">
    <w:name w:val="纯文本1"/>
    <w:basedOn w:val="1"/>
    <w:autoRedefine/>
    <w:qFormat/>
    <w:uiPriority w:val="0"/>
    <w:rPr>
      <w:rFonts w:ascii="宋体" w:hAnsi="Courier New" w:eastAsia="宋体" w:cs="Times New Roman"/>
    </w:rPr>
  </w:style>
  <w:style w:type="paragraph" w:customStyle="1" w:styleId="441">
    <w:name w:val="CM61"/>
    <w:basedOn w:val="77"/>
    <w:next w:val="77"/>
    <w:autoRedefine/>
    <w:qFormat/>
    <w:uiPriority w:val="0"/>
    <w:pPr>
      <w:spacing w:line="468" w:lineRule="atLeast"/>
    </w:pPr>
    <w:rPr>
      <w:rFonts w:hAnsi="Calibri" w:eastAsia="宋体" w:cs="Times New Roman"/>
      <w:color w:val="auto"/>
      <w:kern w:val="0"/>
    </w:rPr>
  </w:style>
  <w:style w:type="paragraph" w:customStyle="1" w:styleId="442">
    <w:name w:val="表字居中"/>
    <w:basedOn w:val="1"/>
    <w:autoRedefine/>
    <w:qFormat/>
    <w:uiPriority w:val="0"/>
    <w:pPr>
      <w:snapToGrid w:val="0"/>
      <w:jc w:val="center"/>
    </w:pPr>
    <w:rPr>
      <w:rFonts w:ascii="Times New Roman" w:hAnsi="宋体" w:eastAsia="宋体" w:cs="Times New Roman"/>
      <w:color w:val="000000"/>
      <w:spacing w:val="-4"/>
      <w:kern w:val="0"/>
      <w:szCs w:val="21"/>
      <w:lang w:val="zh-CN"/>
    </w:rPr>
  </w:style>
  <w:style w:type="paragraph" w:customStyle="1" w:styleId="443">
    <w:name w:val="表标题"/>
    <w:basedOn w:val="1"/>
    <w:autoRedefine/>
    <w:qFormat/>
    <w:uiPriority w:val="0"/>
    <w:pPr>
      <w:autoSpaceDE w:val="0"/>
      <w:autoSpaceDN w:val="0"/>
      <w:adjustRightInd w:val="0"/>
      <w:snapToGrid w:val="0"/>
      <w:spacing w:beforeLines="50"/>
      <w:jc w:val="center"/>
    </w:pPr>
    <w:rPr>
      <w:rFonts w:ascii="Times New Roman" w:hAnsi="Times New Roman" w:eastAsia="宋体" w:cs="Times New Roman"/>
      <w:b/>
      <w:bCs/>
      <w:color w:val="000000"/>
      <w:sz w:val="24"/>
      <w:szCs w:val="24"/>
    </w:rPr>
  </w:style>
  <w:style w:type="paragraph" w:customStyle="1" w:styleId="444">
    <w:name w:val="Char2 Char Char Char"/>
    <w:basedOn w:val="1"/>
    <w:autoRedefine/>
    <w:qFormat/>
    <w:uiPriority w:val="0"/>
    <w:pPr>
      <w:spacing w:line="360" w:lineRule="auto"/>
      <w:ind w:firstLine="200" w:firstLineChars="200"/>
    </w:pPr>
    <w:rPr>
      <w:rFonts w:ascii="宋体" w:hAnsi="宋体" w:eastAsia="宋体" w:cs="宋体"/>
      <w:szCs w:val="24"/>
    </w:rPr>
  </w:style>
  <w:style w:type="paragraph" w:customStyle="1" w:styleId="445">
    <w:name w:val="表格题注"/>
    <w:autoRedefine/>
    <w:qFormat/>
    <w:uiPriority w:val="0"/>
    <w:pPr>
      <w:jc w:val="center"/>
    </w:pPr>
    <w:rPr>
      <w:rFonts w:ascii="Times New Roman" w:hAnsi="Times New Roman" w:eastAsia="宋体" w:cs="Times New Roman"/>
      <w:b/>
      <w:sz w:val="21"/>
      <w:szCs w:val="22"/>
      <w:lang w:val="en-US" w:eastAsia="zh-CN" w:bidi="ar-SA"/>
    </w:rPr>
  </w:style>
  <w:style w:type="paragraph" w:customStyle="1" w:styleId="446">
    <w:name w:val="xl38"/>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447">
    <w:name w:val="zhang正文"/>
    <w:basedOn w:val="25"/>
    <w:autoRedefine/>
    <w:qFormat/>
    <w:uiPriority w:val="0"/>
    <w:pPr>
      <w:autoSpaceDE w:val="0"/>
      <w:autoSpaceDN w:val="0"/>
      <w:adjustRightInd w:val="0"/>
      <w:snapToGrid w:val="0"/>
      <w:spacing w:after="0" w:line="360" w:lineRule="auto"/>
      <w:ind w:left="0" w:leftChars="0" w:firstLine="539"/>
      <w:textAlignment w:val="baseline"/>
    </w:pPr>
    <w:rPr>
      <w:rFonts w:ascii="Times New Roman" w:hAnsi="Times New Roman" w:eastAsia="楷体_GB2312" w:cs="Times New Roman"/>
      <w:kern w:val="0"/>
      <w:sz w:val="28"/>
      <w:szCs w:val="20"/>
    </w:rPr>
  </w:style>
  <w:style w:type="paragraph" w:customStyle="1" w:styleId="448">
    <w:name w:val="标题3 Char Char Char Char"/>
    <w:basedOn w:val="1"/>
    <w:autoRedefine/>
    <w:qFormat/>
    <w:uiPriority w:val="0"/>
    <w:pPr>
      <w:spacing w:afterLines="50" w:line="560" w:lineRule="exact"/>
    </w:pPr>
    <w:rPr>
      <w:rFonts w:ascii="Times New Roman" w:hAnsi="Times New Roman" w:eastAsia="黑体" w:cs="Times New Roman"/>
      <w:sz w:val="30"/>
      <w:szCs w:val="30"/>
    </w:rPr>
  </w:style>
  <w:style w:type="paragraph" w:customStyle="1" w:styleId="449">
    <w:name w:val="0"/>
    <w:basedOn w:val="1"/>
    <w:autoRedefine/>
    <w:qFormat/>
    <w:uiPriority w:val="0"/>
    <w:pPr>
      <w:widowControl/>
      <w:snapToGrid w:val="0"/>
    </w:pPr>
    <w:rPr>
      <w:rFonts w:ascii="Times New Roman" w:hAnsi="Times New Roman" w:eastAsia="宋体" w:cs="Times New Roman"/>
      <w:kern w:val="0"/>
      <w:szCs w:val="21"/>
    </w:rPr>
  </w:style>
  <w:style w:type="paragraph" w:customStyle="1" w:styleId="450">
    <w:name w:val="标题 41"/>
    <w:basedOn w:val="1"/>
    <w:autoRedefine/>
    <w:qFormat/>
    <w:uiPriority w:val="0"/>
    <w:pPr>
      <w:tabs>
        <w:tab w:val="left" w:pos="454"/>
        <w:tab w:val="left" w:pos="848"/>
      </w:tabs>
      <w:spacing w:line="360" w:lineRule="auto"/>
      <w:ind w:left="848" w:hanging="748"/>
    </w:pPr>
    <w:rPr>
      <w:rFonts w:ascii="Times New Roman" w:hAnsi="Times New Roman" w:eastAsia="宋体" w:cs="Times New Roman"/>
      <w:sz w:val="24"/>
      <w:szCs w:val="24"/>
    </w:rPr>
  </w:style>
  <w:style w:type="paragraph" w:customStyle="1" w:styleId="451">
    <w:name w:val="中气三级"/>
    <w:basedOn w:val="5"/>
    <w:next w:val="1"/>
    <w:autoRedefine/>
    <w:qFormat/>
    <w:uiPriority w:val="0"/>
    <w:pPr>
      <w:tabs>
        <w:tab w:val="left" w:pos="1742"/>
        <w:tab w:val="left" w:pos="2760"/>
      </w:tabs>
      <w:adjustRightInd w:val="0"/>
      <w:spacing w:beforeLines="50" w:afterLines="50" w:line="360" w:lineRule="auto"/>
      <w:jc w:val="left"/>
      <w:textAlignment w:val="baseline"/>
    </w:pPr>
    <w:rPr>
      <w:rFonts w:eastAsia="黑体"/>
      <w:b w:val="0"/>
      <w:bCs w:val="0"/>
      <w:snapToGrid w:val="0"/>
      <w:kern w:val="0"/>
      <w:sz w:val="24"/>
      <w:szCs w:val="20"/>
    </w:rPr>
  </w:style>
  <w:style w:type="paragraph" w:customStyle="1" w:styleId="452">
    <w:name w:val="表格文字2"/>
    <w:basedOn w:val="1"/>
    <w:autoRedefine/>
    <w:qFormat/>
    <w:uiPriority w:val="0"/>
    <w:pPr>
      <w:tabs>
        <w:tab w:val="left" w:pos="277"/>
        <w:tab w:val="left" w:pos="600"/>
        <w:tab w:val="left" w:pos="780"/>
        <w:tab w:val="left" w:pos="2517"/>
      </w:tabs>
      <w:adjustRightInd w:val="0"/>
      <w:jc w:val="center"/>
      <w:textAlignment w:val="baseline"/>
    </w:pPr>
    <w:rPr>
      <w:rFonts w:ascii="Times New Roman" w:hAnsi="Times New Roman" w:eastAsia="宋体" w:cs="Times New Roman"/>
      <w:kern w:val="0"/>
      <w:szCs w:val="21"/>
    </w:rPr>
  </w:style>
  <w:style w:type="paragraph" w:customStyle="1" w:styleId="453">
    <w:name w:val="p0"/>
    <w:basedOn w:val="1"/>
    <w:autoRedefine/>
    <w:qFormat/>
    <w:uiPriority w:val="0"/>
    <w:pPr>
      <w:widowControl/>
    </w:pPr>
    <w:rPr>
      <w:rFonts w:ascii="Calibri" w:hAnsi="Calibri" w:eastAsia="宋体" w:cs="Times New Roman"/>
      <w:kern w:val="0"/>
      <w:szCs w:val="21"/>
    </w:rPr>
  </w:style>
  <w:style w:type="paragraph" w:customStyle="1" w:styleId="454">
    <w:name w:val="Char Char Char Char Char Char Char Char Char Char Char Char Char Char Char Char Char Char Char"/>
    <w:basedOn w:val="1"/>
    <w:autoRedefine/>
    <w:qFormat/>
    <w:uiPriority w:val="0"/>
    <w:pPr>
      <w:tabs>
        <w:tab w:val="left" w:pos="907"/>
      </w:tabs>
      <w:ind w:left="907" w:hanging="453"/>
    </w:pPr>
    <w:rPr>
      <w:rFonts w:ascii="Times New Roman" w:hAnsi="Times New Roman" w:eastAsia="宋体" w:cs="Times New Roman"/>
      <w:sz w:val="24"/>
      <w:szCs w:val="21"/>
    </w:rPr>
  </w:style>
  <w:style w:type="paragraph" w:customStyle="1" w:styleId="455">
    <w:name w:val="Char Char Char Char1"/>
    <w:basedOn w:val="1"/>
    <w:autoRedefine/>
    <w:qFormat/>
    <w:uiPriority w:val="0"/>
    <w:rPr>
      <w:rFonts w:ascii="Times New Roman" w:hAnsi="Times New Roman" w:eastAsia="宋体" w:cs="Times New Roman"/>
      <w:sz w:val="24"/>
      <w:szCs w:val="24"/>
    </w:rPr>
  </w:style>
  <w:style w:type="paragraph" w:customStyle="1" w:styleId="456">
    <w:name w:val="样式 目录 1 + 首行缩进:  0.85 厘米"/>
    <w:basedOn w:val="42"/>
    <w:autoRedefine/>
    <w:qFormat/>
    <w:uiPriority w:val="0"/>
    <w:pPr>
      <w:adjustRightInd w:val="0"/>
      <w:snapToGrid w:val="0"/>
      <w:spacing w:before="120" w:after="120"/>
      <w:jc w:val="left"/>
    </w:pPr>
    <w:rPr>
      <w:rFonts w:ascii="Calibri" w:hAnsi="Calibri" w:eastAsia="宋体" w:cs="宋体"/>
      <w:sz w:val="20"/>
      <w:szCs w:val="20"/>
    </w:rPr>
  </w:style>
  <w:style w:type="paragraph" w:customStyle="1" w:styleId="457">
    <w:name w:val="缩进"/>
    <w:basedOn w:val="1"/>
    <w:autoRedefine/>
    <w:qFormat/>
    <w:uiPriority w:val="0"/>
    <w:pPr>
      <w:autoSpaceDE w:val="0"/>
      <w:autoSpaceDN w:val="0"/>
      <w:adjustRightInd w:val="0"/>
      <w:spacing w:line="400" w:lineRule="atLeast"/>
      <w:ind w:firstLine="425"/>
      <w:textAlignment w:val="baseline"/>
    </w:pPr>
    <w:rPr>
      <w:rFonts w:ascii="Calibri" w:hAnsi="Calibri" w:eastAsia="宋体" w:cs="Times New Roman"/>
      <w:kern w:val="0"/>
      <w:sz w:val="24"/>
      <w:szCs w:val="21"/>
    </w:rPr>
  </w:style>
  <w:style w:type="paragraph" w:customStyle="1" w:styleId="458">
    <w:name w:val="样式25"/>
    <w:basedOn w:val="436"/>
    <w:autoRedefine/>
    <w:qFormat/>
    <w:uiPriority w:val="0"/>
  </w:style>
  <w:style w:type="paragraph" w:customStyle="1" w:styleId="459">
    <w:name w:val="表格标题标题"/>
    <w:basedOn w:val="460"/>
    <w:autoRedefine/>
    <w:qFormat/>
    <w:uiPriority w:val="0"/>
    <w:pPr>
      <w:spacing w:line="240" w:lineRule="auto"/>
      <w:ind w:firstLine="0" w:firstLineChars="0"/>
      <w:jc w:val="center"/>
    </w:pPr>
    <w:rPr>
      <w:rFonts w:eastAsia="黑体"/>
    </w:rPr>
  </w:style>
  <w:style w:type="paragraph" w:customStyle="1" w:styleId="460">
    <w:name w:val="正本文字"/>
    <w:basedOn w:val="1"/>
    <w:autoRedefine/>
    <w:qFormat/>
    <w:uiPriority w:val="0"/>
    <w:pPr>
      <w:adjustRightInd w:val="0"/>
      <w:snapToGrid w:val="0"/>
      <w:spacing w:line="360" w:lineRule="auto"/>
      <w:ind w:firstLine="200" w:firstLineChars="200"/>
      <w:jc w:val="left"/>
    </w:pPr>
    <w:rPr>
      <w:rFonts w:ascii="Times New Roman" w:hAnsi="Times New Roman" w:eastAsia="宋体" w:cs="宋体"/>
      <w:kern w:val="18"/>
      <w:sz w:val="24"/>
      <w:szCs w:val="21"/>
    </w:rPr>
  </w:style>
  <w:style w:type="paragraph" w:customStyle="1" w:styleId="461">
    <w:name w:val="样式 列表 2 + 华文仿宋 居中"/>
    <w:basedOn w:val="27"/>
    <w:autoRedefine/>
    <w:qFormat/>
    <w:uiPriority w:val="0"/>
    <w:pPr>
      <w:ind w:left="0" w:leftChars="0" w:firstLine="0" w:firstLineChars="0"/>
      <w:jc w:val="center"/>
    </w:pPr>
    <w:rPr>
      <w:rFonts w:ascii="宋体" w:hAnsi="宋体"/>
    </w:rPr>
  </w:style>
  <w:style w:type="paragraph" w:customStyle="1" w:styleId="462">
    <w:name w:val="页脚1"/>
    <w:basedOn w:val="463"/>
    <w:autoRedefine/>
    <w:qFormat/>
    <w:uiPriority w:val="0"/>
    <w:pPr>
      <w:pBdr>
        <w:top w:val="single" w:color="auto" w:sz="2" w:space="1"/>
      </w:pBdr>
      <w:tabs>
        <w:tab w:val="center" w:pos="4153"/>
        <w:tab w:val="right" w:pos="8306"/>
        <w:tab w:val="left" w:pos="8820"/>
      </w:tabs>
      <w:snapToGrid w:val="0"/>
      <w:jc w:val="center"/>
    </w:pPr>
    <w:rPr>
      <w:rFonts w:eastAsia="Times New Roman"/>
      <w:sz w:val="21"/>
      <w:szCs w:val="18"/>
    </w:rPr>
  </w:style>
  <w:style w:type="paragraph" w:customStyle="1" w:styleId="463">
    <w:name w:val="样式1"/>
    <w:basedOn w:val="1"/>
    <w:autoRedefine/>
    <w:qFormat/>
    <w:uiPriority w:val="0"/>
    <w:pPr>
      <w:tabs>
        <w:tab w:val="left" w:pos="8820"/>
      </w:tabs>
    </w:pPr>
    <w:rPr>
      <w:rFonts w:ascii="Times New Roman" w:hAnsi="Times New Roman" w:eastAsia="宋体" w:cs="Times New Roman"/>
      <w:sz w:val="30"/>
      <w:szCs w:val="21"/>
    </w:rPr>
  </w:style>
  <w:style w:type="paragraph" w:customStyle="1" w:styleId="464">
    <w:name w:val="样式 (符号) 宋体 小四 行距: 固定值 23 磅"/>
    <w:basedOn w:val="1"/>
    <w:autoRedefine/>
    <w:qFormat/>
    <w:uiPriority w:val="0"/>
    <w:pPr>
      <w:spacing w:line="460" w:lineRule="exact"/>
      <w:ind w:firstLine="480"/>
    </w:pPr>
    <w:rPr>
      <w:rFonts w:ascii="Times New Roman" w:hAnsi="Times New Roman" w:eastAsia="宋体" w:cs="Times New Roman"/>
      <w:sz w:val="24"/>
      <w:szCs w:val="24"/>
    </w:rPr>
  </w:style>
  <w:style w:type="paragraph" w:customStyle="1" w:styleId="465">
    <w:name w:val="章标题"/>
    <w:next w:val="466"/>
    <w:autoRedefine/>
    <w:qFormat/>
    <w:uiPriority w:val="0"/>
    <w:pPr>
      <w:tabs>
        <w:tab w:val="left" w:pos="903"/>
      </w:tabs>
      <w:spacing w:before="50" w:after="50"/>
      <w:ind w:left="903" w:hanging="315"/>
      <w:jc w:val="both"/>
      <w:outlineLvl w:val="1"/>
    </w:pPr>
    <w:rPr>
      <w:rFonts w:ascii="黑体" w:hAnsi="Times New Roman" w:eastAsia="黑体" w:cs="Times New Roman"/>
      <w:sz w:val="21"/>
      <w:szCs w:val="22"/>
      <w:lang w:val="en-US" w:eastAsia="zh-CN" w:bidi="ar-SA"/>
    </w:rPr>
  </w:style>
  <w:style w:type="paragraph" w:customStyle="1" w:styleId="466">
    <w:name w:val="段"/>
    <w:autoRedefine/>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467">
    <w:name w:val="默认段落字体 Para Char Char Char Char"/>
    <w:basedOn w:val="1"/>
    <w:autoRedefine/>
    <w:qFormat/>
    <w:uiPriority w:val="0"/>
    <w:rPr>
      <w:rFonts w:ascii="Times New Roman" w:hAnsi="Times New Roman" w:eastAsia="宋体" w:cs="Times New Roman"/>
      <w:sz w:val="24"/>
      <w:szCs w:val="24"/>
    </w:rPr>
  </w:style>
  <w:style w:type="paragraph" w:customStyle="1" w:styleId="468">
    <w:name w:val="xl31"/>
    <w:basedOn w:val="1"/>
    <w:autoRedefine/>
    <w:qFormat/>
    <w:uiPriority w:val="0"/>
    <w:pPr>
      <w:widowControl/>
      <w:pBdr>
        <w:bottom w:val="single" w:color="auto" w:sz="4" w:space="0"/>
        <w:right w:val="single" w:color="auto" w:sz="4" w:space="0"/>
      </w:pBdr>
      <w:spacing w:before="100" w:beforeAutospacing="1" w:after="100" w:afterAutospacing="1"/>
      <w:jc w:val="center"/>
      <w:textAlignment w:val="center"/>
    </w:pPr>
    <w:rPr>
      <w:rFonts w:ascii="Calibri" w:hAnsi="宋体" w:eastAsia="宋体" w:cs="Times New Roman"/>
      <w:color w:val="000000"/>
      <w:kern w:val="0"/>
      <w:sz w:val="24"/>
      <w:szCs w:val="21"/>
    </w:rPr>
  </w:style>
  <w:style w:type="paragraph" w:customStyle="1" w:styleId="469">
    <w:name w:val="目录4"/>
    <w:basedOn w:val="1"/>
    <w:autoRedefine/>
    <w:qFormat/>
    <w:uiPriority w:val="0"/>
    <w:pPr>
      <w:widowControl/>
      <w:tabs>
        <w:tab w:val="left" w:leader="dot" w:pos="7370"/>
      </w:tabs>
      <w:spacing w:line="317" w:lineRule="atLeast"/>
      <w:ind w:firstLine="629"/>
      <w:textAlignment w:val="baseline"/>
    </w:pPr>
    <w:rPr>
      <w:rFonts w:ascii="Times New Roman" w:hAnsi="Times New Roman" w:eastAsia="宋体" w:cs="Times New Roman"/>
      <w:color w:val="000000"/>
      <w:kern w:val="0"/>
      <w:szCs w:val="21"/>
      <w:u w:color="000000"/>
    </w:rPr>
  </w:style>
  <w:style w:type="paragraph" w:customStyle="1" w:styleId="470">
    <w:name w:val="样式 四号 加粗 段前: 6 磅 段后: 5 磅 行距: 固定值 23 磅"/>
    <w:basedOn w:val="6"/>
    <w:next w:val="1"/>
    <w:autoRedefine/>
    <w:qFormat/>
    <w:uiPriority w:val="0"/>
    <w:pPr>
      <w:keepNext w:val="0"/>
      <w:keepLines w:val="0"/>
      <w:widowControl/>
      <w:spacing w:line="360" w:lineRule="auto"/>
      <w:ind w:firstLine="482" w:firstLineChars="200"/>
      <w:jc w:val="left"/>
      <w:outlineLvl w:val="9"/>
    </w:pPr>
    <w:rPr>
      <w:rFonts w:ascii="Times New Roman" w:hAnsi="Times New Roman" w:eastAsia="宋体" w:cs="Times New Roman"/>
      <w:kern w:val="0"/>
      <w:sz w:val="24"/>
      <w:szCs w:val="24"/>
    </w:rPr>
  </w:style>
  <w:style w:type="paragraph" w:customStyle="1" w:styleId="471">
    <w:name w:val="加粗文字"/>
    <w:basedOn w:val="378"/>
    <w:next w:val="378"/>
    <w:autoRedefine/>
    <w:qFormat/>
    <w:uiPriority w:val="0"/>
    <w:pPr>
      <w:ind w:firstLine="0" w:firstLineChars="0"/>
    </w:pPr>
    <w:rPr>
      <w:b/>
    </w:rPr>
  </w:style>
  <w:style w:type="paragraph" w:customStyle="1" w:styleId="472">
    <w:name w:val="样式 标题 1 + 段前: 0.5 行 段后: 0.5 行"/>
    <w:basedOn w:val="2"/>
    <w:autoRedefine/>
    <w:qFormat/>
    <w:uiPriority w:val="0"/>
    <w:pPr>
      <w:tabs>
        <w:tab w:val="left" w:pos="284"/>
      </w:tabs>
      <w:spacing w:beforeLines="50" w:afterLines="50" w:line="360" w:lineRule="auto"/>
      <w:ind w:firstLine="567"/>
    </w:pPr>
    <w:rPr>
      <w:rFonts w:ascii="Times New Roman" w:hAnsi="Times New Roman" w:eastAsia="黑体" w:cs="宋体"/>
      <w:b w:val="0"/>
      <w:sz w:val="30"/>
      <w:szCs w:val="20"/>
    </w:rPr>
  </w:style>
  <w:style w:type="paragraph" w:customStyle="1" w:styleId="473">
    <w:name w:val="Char"/>
    <w:basedOn w:val="1"/>
    <w:autoRedefine/>
    <w:qFormat/>
    <w:uiPriority w:val="0"/>
    <w:pPr>
      <w:snapToGrid w:val="0"/>
      <w:spacing w:line="360" w:lineRule="auto"/>
      <w:ind w:firstLine="529" w:firstLineChars="200"/>
    </w:pPr>
    <w:rPr>
      <w:rFonts w:ascii="Times New Roman" w:hAnsi="Times New Roman" w:eastAsia="宋体" w:cs="Times New Roman"/>
      <w:szCs w:val="24"/>
    </w:rPr>
  </w:style>
  <w:style w:type="paragraph" w:customStyle="1" w:styleId="474">
    <w:name w:val="金光华表头"/>
    <w:basedOn w:val="1"/>
    <w:autoRedefine/>
    <w:qFormat/>
    <w:uiPriority w:val="0"/>
    <w:pPr>
      <w:widowControl/>
      <w:spacing w:line="360" w:lineRule="auto"/>
      <w:ind w:firstLine="794"/>
      <w:jc w:val="left"/>
    </w:pPr>
    <w:rPr>
      <w:rFonts w:ascii="宋体" w:hAnsi="宋体" w:eastAsia="宋体" w:cs="宋体"/>
      <w:kern w:val="0"/>
      <w:sz w:val="24"/>
      <w:szCs w:val="24"/>
    </w:rPr>
  </w:style>
  <w:style w:type="paragraph" w:customStyle="1" w:styleId="475">
    <w:name w:val="CM14"/>
    <w:basedOn w:val="77"/>
    <w:next w:val="77"/>
    <w:autoRedefine/>
    <w:qFormat/>
    <w:uiPriority w:val="0"/>
    <w:pPr>
      <w:spacing w:line="468" w:lineRule="atLeast"/>
    </w:pPr>
    <w:rPr>
      <w:rFonts w:hAnsi="Calibri" w:eastAsia="宋体" w:cs="Times New Roman"/>
      <w:color w:val="auto"/>
      <w:kern w:val="0"/>
    </w:rPr>
  </w:style>
  <w:style w:type="paragraph" w:customStyle="1" w:styleId="476">
    <w:name w:val="ENFI正文"/>
    <w:basedOn w:val="1"/>
    <w:autoRedefine/>
    <w:qFormat/>
    <w:uiPriority w:val="0"/>
    <w:pPr>
      <w:adjustRightInd w:val="0"/>
      <w:snapToGrid w:val="0"/>
      <w:spacing w:line="500" w:lineRule="exact"/>
      <w:ind w:firstLine="567"/>
    </w:pPr>
    <w:rPr>
      <w:rFonts w:ascii="Times New Roman" w:hAnsi="Times New Roman" w:eastAsia="仿宋_GB2312" w:cs="Times New Roman"/>
      <w:snapToGrid w:val="0"/>
      <w:color w:val="000000"/>
      <w:kern w:val="0"/>
      <w:sz w:val="28"/>
      <w:szCs w:val="20"/>
    </w:rPr>
  </w:style>
  <w:style w:type="paragraph" w:customStyle="1" w:styleId="477">
    <w:name w:val="标题 31"/>
    <w:autoRedefine/>
    <w:qFormat/>
    <w:uiPriority w:val="0"/>
    <w:pPr>
      <w:keepNext/>
      <w:keepLines/>
      <w:spacing w:before="260" w:after="260" w:line="413" w:lineRule="auto"/>
      <w:ind w:firstLine="200" w:firstLineChars="200"/>
      <w:outlineLvl w:val="2"/>
    </w:pPr>
    <w:rPr>
      <w:rFonts w:hint="eastAsia" w:ascii="Times New Roman" w:hAnsi="Times New Roman" w:eastAsia="宋体" w:cs="Times New Roman"/>
      <w:b/>
      <w:sz w:val="32"/>
      <w:lang w:val="en-US" w:eastAsia="zh-CN" w:bidi="ar-SA"/>
    </w:rPr>
  </w:style>
  <w:style w:type="paragraph" w:customStyle="1" w:styleId="478">
    <w:name w:val="CM26"/>
    <w:basedOn w:val="77"/>
    <w:next w:val="77"/>
    <w:autoRedefine/>
    <w:qFormat/>
    <w:uiPriority w:val="0"/>
    <w:pPr>
      <w:spacing w:line="468" w:lineRule="atLeast"/>
    </w:pPr>
    <w:rPr>
      <w:rFonts w:hAnsi="Calibri" w:eastAsia="宋体" w:cs="Times New Roman"/>
      <w:color w:val="auto"/>
      <w:kern w:val="0"/>
    </w:rPr>
  </w:style>
  <w:style w:type="paragraph" w:customStyle="1" w:styleId="479">
    <w:name w:val="样式 正文首行缩进 + 行距: 1.5 倍行距"/>
    <w:basedOn w:val="56"/>
    <w:autoRedefine/>
    <w:qFormat/>
    <w:uiPriority w:val="0"/>
    <w:pPr>
      <w:adjustRightInd/>
      <w:snapToGrid/>
      <w:spacing w:beforeLines="0"/>
      <w:ind w:firstLine="500" w:firstLineChars="500"/>
    </w:pPr>
    <w:rPr>
      <w:rFonts w:hAnsi="宋体" w:cs="宋体"/>
      <w:bCs/>
      <w:kern w:val="0"/>
      <w:sz w:val="26"/>
      <w:szCs w:val="26"/>
    </w:rPr>
  </w:style>
  <w:style w:type="paragraph" w:customStyle="1" w:styleId="480">
    <w:name w:val="小罗表格"/>
    <w:basedOn w:val="1"/>
    <w:autoRedefine/>
    <w:qFormat/>
    <w:uiPriority w:val="0"/>
    <w:pPr>
      <w:adjustRightInd w:val="0"/>
      <w:jc w:val="center"/>
    </w:pPr>
    <w:rPr>
      <w:rFonts w:ascii="宋体" w:hAnsi="宋体" w:eastAsia="宋体" w:cs="Times New Roman"/>
      <w:sz w:val="22"/>
      <w:szCs w:val="24"/>
    </w:rPr>
  </w:style>
  <w:style w:type="paragraph" w:customStyle="1" w:styleId="481">
    <w:name w:val="Char Char2"/>
    <w:basedOn w:val="1"/>
    <w:autoRedefine/>
    <w:qFormat/>
    <w:uiPriority w:val="0"/>
    <w:pPr>
      <w:spacing w:line="360" w:lineRule="auto"/>
      <w:ind w:firstLine="200" w:firstLineChars="200"/>
    </w:pPr>
    <w:rPr>
      <w:rFonts w:ascii="宋体" w:hAnsi="宋体" w:eastAsia="宋体" w:cs="宋体"/>
      <w:sz w:val="24"/>
      <w:szCs w:val="21"/>
    </w:rPr>
  </w:style>
  <w:style w:type="paragraph" w:customStyle="1" w:styleId="482">
    <w:name w:val="二级无标题条"/>
    <w:basedOn w:val="1"/>
    <w:autoRedefine/>
    <w:qFormat/>
    <w:uiPriority w:val="0"/>
    <w:rPr>
      <w:rFonts w:ascii="Calibri" w:hAnsi="Calibri" w:eastAsia="宋体" w:cs="Times New Roman"/>
      <w:szCs w:val="24"/>
    </w:rPr>
  </w:style>
  <w:style w:type="paragraph" w:customStyle="1" w:styleId="483">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84">
    <w:name w:val="Char Char Char Char Char Char Char Char"/>
    <w:basedOn w:val="1"/>
    <w:autoRedefine/>
    <w:qFormat/>
    <w:uiPriority w:val="0"/>
    <w:rPr>
      <w:rFonts w:ascii="Times New Roman" w:hAnsi="Times New Roman" w:eastAsia="宋体" w:cs="Times New Roman"/>
      <w:sz w:val="24"/>
      <w:szCs w:val="24"/>
    </w:rPr>
  </w:style>
  <w:style w:type="paragraph" w:customStyle="1" w:styleId="485">
    <w:name w:val="3"/>
    <w:basedOn w:val="1"/>
    <w:autoRedefine/>
    <w:qFormat/>
    <w:uiPriority w:val="0"/>
    <w:rPr>
      <w:rFonts w:ascii="Times New Roman" w:hAnsi="Times New Roman" w:eastAsia="宋体" w:cs="Times New Roman"/>
      <w:szCs w:val="21"/>
    </w:rPr>
  </w:style>
  <w:style w:type="paragraph" w:customStyle="1" w:styleId="486">
    <w:name w:val="普通(网站)1"/>
    <w:basedOn w:val="1"/>
    <w:autoRedefine/>
    <w:qFormat/>
    <w:uiPriority w:val="0"/>
    <w:pPr>
      <w:widowControl/>
      <w:spacing w:before="100" w:beforeAutospacing="1" w:after="100" w:afterAutospacing="1"/>
      <w:jc w:val="left"/>
    </w:pPr>
    <w:rPr>
      <w:rFonts w:hint="eastAsia" w:ascii="宋体" w:hAnsi="宋体" w:eastAsia="宋体" w:cs="Times New Roman"/>
      <w:sz w:val="24"/>
      <w:szCs w:val="20"/>
    </w:rPr>
  </w:style>
  <w:style w:type="paragraph" w:customStyle="1" w:styleId="487">
    <w:name w:val="魏秀珍标题4"/>
    <w:basedOn w:val="6"/>
    <w:autoRedefine/>
    <w:qFormat/>
    <w:uiPriority w:val="0"/>
    <w:pPr>
      <w:adjustRightInd w:val="0"/>
      <w:snapToGrid w:val="0"/>
      <w:spacing w:before="120" w:after="120" w:line="360" w:lineRule="auto"/>
      <w:jc w:val="left"/>
    </w:pPr>
    <w:rPr>
      <w:rFonts w:ascii="宋体" w:hAnsi="宋体" w:eastAsia="宋体" w:cs="Times New Roman"/>
      <w:b w:val="0"/>
      <w:bCs/>
      <w:color w:val="000000"/>
      <w:sz w:val="24"/>
      <w:szCs w:val="24"/>
    </w:rPr>
  </w:style>
  <w:style w:type="paragraph" w:customStyle="1" w:styleId="488">
    <w:name w:val="样式4"/>
    <w:basedOn w:val="46"/>
    <w:next w:val="463"/>
    <w:autoRedefine/>
    <w:qFormat/>
    <w:uiPriority w:val="0"/>
    <w:pPr>
      <w:tabs>
        <w:tab w:val="left" w:pos="2520"/>
        <w:tab w:val="right" w:leader="dot" w:pos="9061"/>
      </w:tabs>
    </w:pPr>
    <w:rPr>
      <w:b/>
      <w:bCs/>
      <w:kern w:val="32"/>
    </w:rPr>
  </w:style>
  <w:style w:type="paragraph" w:customStyle="1" w:styleId="489">
    <w:name w:val="样式 标题 3ReHead 3 WSAh3B HeadH3..标题 3 CharH31H32H33H311...1"/>
    <w:basedOn w:val="5"/>
    <w:next w:val="1"/>
    <w:autoRedefine/>
    <w:qFormat/>
    <w:uiPriority w:val="0"/>
    <w:pPr>
      <w:spacing w:before="0" w:after="0" w:line="415" w:lineRule="auto"/>
    </w:pPr>
    <w:rPr>
      <w:rFonts w:eastAsia="黑体"/>
      <w:color w:val="000000"/>
      <w:sz w:val="24"/>
      <w:szCs w:val="20"/>
    </w:rPr>
  </w:style>
  <w:style w:type="paragraph" w:customStyle="1" w:styleId="490">
    <w:name w:val="样式 题注 + 首行缩进:  2 字符"/>
    <w:basedOn w:val="18"/>
    <w:autoRedefine/>
    <w:qFormat/>
    <w:uiPriority w:val="0"/>
    <w:pPr>
      <w:adjustRightInd/>
      <w:snapToGrid/>
      <w:spacing w:line="324" w:lineRule="auto"/>
      <w:jc w:val="both"/>
    </w:pPr>
    <w:rPr>
      <w:rFonts w:ascii="Arial" w:hAnsi="Arial" w:cs="Times New Roman"/>
      <w:color w:val="000000"/>
      <w:sz w:val="20"/>
      <w:szCs w:val="20"/>
    </w:rPr>
  </w:style>
  <w:style w:type="paragraph" w:customStyle="1" w:styleId="491">
    <w:name w:val="样式 样式 (符号) 宋体 小四 行距: 1.5 倍行距 + 首行缩进:  2 字符"/>
    <w:basedOn w:val="1"/>
    <w:autoRedefine/>
    <w:qFormat/>
    <w:uiPriority w:val="0"/>
    <w:pPr>
      <w:spacing w:line="360" w:lineRule="auto"/>
      <w:ind w:firstLine="456" w:firstLineChars="200"/>
    </w:pPr>
    <w:rPr>
      <w:rFonts w:ascii="Times New Roman" w:hAnsi="宋体" w:eastAsia="宋体" w:cs="宋体"/>
      <w:sz w:val="24"/>
      <w:szCs w:val="21"/>
    </w:rPr>
  </w:style>
  <w:style w:type="paragraph" w:customStyle="1" w:styleId="492">
    <w:name w:val="xl24"/>
    <w:basedOn w:val="1"/>
    <w:autoRedefine/>
    <w:qFormat/>
    <w:uiPriority w:val="0"/>
    <w:pPr>
      <w:widowControl/>
      <w:pBdr>
        <w:bottom w:val="single" w:color="000000" w:sz="4" w:space="0"/>
        <w:right w:val="single" w:color="000000" w:sz="4" w:space="0"/>
      </w:pBdr>
      <w:spacing w:before="100" w:beforeAutospacing="1" w:after="100" w:afterAutospacing="1"/>
      <w:jc w:val="center"/>
    </w:pPr>
    <w:rPr>
      <w:rFonts w:ascii="Calibri" w:hAnsi="Calibri" w:eastAsia="宋体" w:cs="Times New Roman"/>
      <w:kern w:val="0"/>
      <w:szCs w:val="21"/>
    </w:rPr>
  </w:style>
  <w:style w:type="paragraph" w:customStyle="1" w:styleId="493">
    <w:name w:val="正文正文正文 1.5 倍行距"/>
    <w:basedOn w:val="1"/>
    <w:autoRedefine/>
    <w:qFormat/>
    <w:uiPriority w:val="0"/>
    <w:pPr>
      <w:spacing w:before="60" w:after="60" w:line="360" w:lineRule="auto"/>
      <w:ind w:firstLine="480" w:firstLineChars="200"/>
    </w:pPr>
    <w:rPr>
      <w:rFonts w:ascii="宋体" w:hAnsi="宋体" w:eastAsia="宋体" w:cs="宋体"/>
      <w:kern w:val="0"/>
      <w:sz w:val="24"/>
      <w:szCs w:val="20"/>
    </w:rPr>
  </w:style>
  <w:style w:type="paragraph" w:customStyle="1" w:styleId="494">
    <w:name w:val="报告表编制依据"/>
    <w:basedOn w:val="1"/>
    <w:next w:val="1"/>
    <w:autoRedefine/>
    <w:qFormat/>
    <w:uiPriority w:val="0"/>
    <w:pPr>
      <w:tabs>
        <w:tab w:val="left" w:pos="-567"/>
        <w:tab w:val="left" w:pos="962"/>
      </w:tabs>
      <w:spacing w:line="360" w:lineRule="auto"/>
    </w:pPr>
    <w:rPr>
      <w:rFonts w:ascii="Times New Roman" w:hAnsi="Times New Roman" w:eastAsia="宋体" w:cs="Times New Roman"/>
      <w:sz w:val="24"/>
      <w:szCs w:val="24"/>
    </w:rPr>
  </w:style>
  <w:style w:type="paragraph" w:customStyle="1" w:styleId="495">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Times New Roman"/>
      <w:kern w:val="0"/>
      <w:sz w:val="24"/>
      <w:szCs w:val="21"/>
    </w:rPr>
  </w:style>
  <w:style w:type="paragraph" w:customStyle="1" w:styleId="496">
    <w:name w:val="表1表2"/>
    <w:basedOn w:val="1"/>
    <w:autoRedefine/>
    <w:qFormat/>
    <w:uiPriority w:val="0"/>
    <w:pPr>
      <w:autoSpaceDE w:val="0"/>
      <w:autoSpaceDN w:val="0"/>
      <w:adjustRightInd w:val="0"/>
      <w:spacing w:line="360" w:lineRule="auto"/>
      <w:jc w:val="center"/>
      <w:textAlignment w:val="center"/>
    </w:pPr>
    <w:rPr>
      <w:rFonts w:ascii="Calibri" w:hAnsi="Calibri" w:eastAsia="仿宋_GB2312" w:cs="Times New Roman"/>
      <w:kern w:val="0"/>
      <w:sz w:val="24"/>
      <w:szCs w:val="21"/>
    </w:rPr>
  </w:style>
  <w:style w:type="paragraph" w:customStyle="1" w:styleId="497">
    <w:name w:val="中气一级"/>
    <w:basedOn w:val="2"/>
    <w:next w:val="1"/>
    <w:autoRedefine/>
    <w:qFormat/>
    <w:uiPriority w:val="0"/>
    <w:pPr>
      <w:tabs>
        <w:tab w:val="left" w:pos="962"/>
      </w:tabs>
      <w:spacing w:before="300" w:after="300" w:line="520" w:lineRule="exact"/>
      <w:jc w:val="left"/>
    </w:pPr>
    <w:rPr>
      <w:rFonts w:ascii="Times New Roman" w:hAnsi="Times New Roman" w:eastAsia="黑体" w:cs="Times New Roman"/>
      <w:b w:val="0"/>
      <w:bCs/>
      <w:sz w:val="36"/>
      <w:szCs w:val="44"/>
    </w:rPr>
  </w:style>
  <w:style w:type="paragraph" w:customStyle="1" w:styleId="498">
    <w:name w:val="大表内容"/>
    <w:autoRedefine/>
    <w:qFormat/>
    <w:uiPriority w:val="0"/>
    <w:pPr>
      <w:snapToGrid w:val="0"/>
      <w:jc w:val="center"/>
    </w:pPr>
    <w:rPr>
      <w:rFonts w:ascii="Times New Roman" w:hAnsi="Times New Roman" w:eastAsia="宋体" w:cs="Times New Roman"/>
      <w:sz w:val="21"/>
      <w:lang w:val="en-US" w:eastAsia="zh-CN" w:bidi="ar-SA"/>
    </w:rPr>
  </w:style>
  <w:style w:type="paragraph" w:customStyle="1" w:styleId="499">
    <w:name w:val="CM74"/>
    <w:basedOn w:val="77"/>
    <w:next w:val="77"/>
    <w:autoRedefine/>
    <w:qFormat/>
    <w:uiPriority w:val="0"/>
    <w:pPr>
      <w:spacing w:after="98"/>
    </w:pPr>
    <w:rPr>
      <w:rFonts w:hAnsi="Calibri" w:eastAsia="宋体" w:cs="Times New Roman"/>
      <w:color w:val="auto"/>
      <w:kern w:val="0"/>
    </w:rPr>
  </w:style>
  <w:style w:type="paragraph" w:customStyle="1" w:styleId="500">
    <w:name w:val="中气二级"/>
    <w:basedOn w:val="1"/>
    <w:next w:val="1"/>
    <w:autoRedefine/>
    <w:qFormat/>
    <w:uiPriority w:val="0"/>
    <w:pPr>
      <w:keepNext/>
      <w:keepLines/>
      <w:tabs>
        <w:tab w:val="left" w:pos="1322"/>
      </w:tabs>
      <w:spacing w:beforeLines="50" w:afterLines="50" w:line="360" w:lineRule="auto"/>
      <w:jc w:val="left"/>
      <w:outlineLvl w:val="1"/>
    </w:pPr>
    <w:rPr>
      <w:rFonts w:ascii="Arial" w:hAnsi="Arial" w:eastAsia="黑体" w:cs="宋体"/>
      <w:bCs/>
      <w:sz w:val="30"/>
      <w:szCs w:val="20"/>
    </w:rPr>
  </w:style>
  <w:style w:type="paragraph" w:customStyle="1" w:styleId="501">
    <w:name w:val="CM27"/>
    <w:basedOn w:val="77"/>
    <w:next w:val="77"/>
    <w:autoRedefine/>
    <w:qFormat/>
    <w:uiPriority w:val="0"/>
    <w:pPr>
      <w:spacing w:line="436" w:lineRule="atLeast"/>
    </w:pPr>
    <w:rPr>
      <w:rFonts w:hAnsi="Calibri" w:eastAsia="宋体" w:cs="Times New Roman"/>
      <w:color w:val="auto"/>
      <w:kern w:val="0"/>
    </w:rPr>
  </w:style>
  <w:style w:type="paragraph" w:customStyle="1" w:styleId="502">
    <w:name w:val="1234"/>
    <w:basedOn w:val="434"/>
    <w:autoRedefine/>
    <w:qFormat/>
    <w:uiPriority w:val="0"/>
    <w:pPr>
      <w:spacing w:line="360" w:lineRule="auto"/>
      <w:ind w:firstLine="200"/>
    </w:pPr>
    <w:rPr>
      <w:rFonts w:ascii="Times New Roman" w:hAnsi="Times New Roman"/>
      <w:kern w:val="0"/>
      <w:sz w:val="24"/>
    </w:rPr>
  </w:style>
  <w:style w:type="paragraph" w:customStyle="1" w:styleId="503">
    <w:name w:val="Char Char1 Char Char Char Char Char Char Char Char Char Char Char Char Char Char Char Char Char Char Char Char1 Char"/>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504">
    <w:name w:val="表头文字"/>
    <w:basedOn w:val="1"/>
    <w:next w:val="56"/>
    <w:autoRedefine/>
    <w:qFormat/>
    <w:uiPriority w:val="0"/>
    <w:pPr>
      <w:adjustRightInd w:val="0"/>
      <w:snapToGrid w:val="0"/>
      <w:spacing w:beforeLines="50" w:line="360" w:lineRule="auto"/>
      <w:jc w:val="left"/>
    </w:pPr>
    <w:rPr>
      <w:rFonts w:ascii="Times New Roman" w:hAnsi="Times New Roman" w:eastAsia="黑体" w:cs="Times New Roman"/>
      <w:sz w:val="24"/>
      <w:szCs w:val="21"/>
    </w:rPr>
  </w:style>
  <w:style w:type="paragraph" w:customStyle="1" w:styleId="505">
    <w:name w:val="表格11"/>
    <w:basedOn w:val="1"/>
    <w:next w:val="374"/>
    <w:autoRedefine/>
    <w:qFormat/>
    <w:uiPriority w:val="0"/>
    <w:pPr>
      <w:adjustRightInd w:val="0"/>
      <w:snapToGrid w:val="0"/>
      <w:spacing w:beforeLines="50"/>
      <w:jc w:val="center"/>
      <w:textAlignment w:val="baseline"/>
    </w:pPr>
    <w:rPr>
      <w:rFonts w:ascii="宋体" w:hAnsi="宋体" w:eastAsia="宋体" w:cs="Times New Roman"/>
      <w:bCs/>
      <w:color w:val="000000"/>
      <w:kern w:val="0"/>
      <w:sz w:val="24"/>
      <w:szCs w:val="24"/>
      <w:lang w:val="zh-CN"/>
    </w:rPr>
  </w:style>
  <w:style w:type="paragraph" w:customStyle="1" w:styleId="506">
    <w:name w:val="样式3"/>
    <w:basedOn w:val="1"/>
    <w:autoRedefine/>
    <w:qFormat/>
    <w:uiPriority w:val="0"/>
    <w:pPr>
      <w:autoSpaceDE w:val="0"/>
      <w:autoSpaceDN w:val="0"/>
      <w:snapToGrid w:val="0"/>
      <w:spacing w:before="120" w:line="460" w:lineRule="atLeast"/>
      <w:jc w:val="center"/>
    </w:pPr>
    <w:rPr>
      <w:rFonts w:ascii="Times New Roman" w:hAnsi="Times New Roman" w:eastAsia="黑体" w:cs="Times New Roman"/>
      <w:sz w:val="28"/>
      <w:szCs w:val="24"/>
    </w:rPr>
  </w:style>
  <w:style w:type="paragraph" w:customStyle="1" w:styleId="507">
    <w:name w:val="Char Char Char Char Char Char1 Char"/>
    <w:basedOn w:val="1"/>
    <w:autoRedefine/>
    <w:qFormat/>
    <w:uiPriority w:val="0"/>
    <w:pPr>
      <w:spacing w:line="360" w:lineRule="auto"/>
    </w:pPr>
    <w:rPr>
      <w:rFonts w:ascii="Times New Roman" w:hAnsi="Times New Roman" w:eastAsia="宋体" w:cs="Times New Roman"/>
      <w:sz w:val="24"/>
      <w:szCs w:val="24"/>
    </w:rPr>
  </w:style>
  <w:style w:type="paragraph" w:customStyle="1" w:styleId="508">
    <w:name w:val="样式 正文文本缩进 2正文文字缩进 2 + 小四 左侧:  0 厘米 段后: 0 磅 行距: 1.5 倍行距"/>
    <w:basedOn w:val="165"/>
    <w:next w:val="36"/>
    <w:autoRedefine/>
    <w:qFormat/>
    <w:uiPriority w:val="0"/>
    <w:pPr>
      <w:spacing w:line="360" w:lineRule="auto"/>
      <w:ind w:firstLine="480" w:firstLineChars="200"/>
    </w:pPr>
    <w:rPr>
      <w:rFonts w:ascii="Times New Roman" w:hAnsi="Times New Roman" w:cs="宋体"/>
      <w:szCs w:val="20"/>
    </w:rPr>
  </w:style>
  <w:style w:type="paragraph" w:customStyle="1" w:styleId="509">
    <w:name w:val="样式 标题 2 + Times New Roman 小四 两端对齐"/>
    <w:basedOn w:val="4"/>
    <w:autoRedefine/>
    <w:qFormat/>
    <w:uiPriority w:val="0"/>
    <w:pPr>
      <w:spacing w:line="360" w:lineRule="auto"/>
      <w:jc w:val="left"/>
    </w:pPr>
    <w:rPr>
      <w:rFonts w:ascii="Times New Roman" w:hAnsi="Times New Roman" w:eastAsia="宋体" w:cs="宋体"/>
      <w:b w:val="0"/>
      <w:sz w:val="24"/>
      <w:szCs w:val="20"/>
    </w:rPr>
  </w:style>
  <w:style w:type="paragraph" w:customStyle="1" w:styleId="510">
    <w:name w:val="Body Text 21"/>
    <w:basedOn w:val="1"/>
    <w:autoRedefine/>
    <w:qFormat/>
    <w:uiPriority w:val="0"/>
    <w:pPr>
      <w:autoSpaceDE w:val="0"/>
      <w:autoSpaceDN w:val="0"/>
      <w:adjustRightInd w:val="0"/>
      <w:spacing w:line="480" w:lineRule="exact"/>
      <w:ind w:firstLine="540"/>
      <w:textAlignment w:val="baseline"/>
    </w:pPr>
    <w:rPr>
      <w:rFonts w:ascii="宋体" w:hAnsi="Tms Rmn" w:eastAsia="宋体" w:cs="Times New Roman"/>
      <w:kern w:val="0"/>
      <w:sz w:val="24"/>
      <w:szCs w:val="20"/>
    </w:rPr>
  </w:style>
  <w:style w:type="paragraph" w:customStyle="1" w:styleId="511">
    <w:name w:val="Char Char Char Char2"/>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512">
    <w:name w:val="一级条标题"/>
    <w:basedOn w:val="465"/>
    <w:next w:val="1"/>
    <w:autoRedefine/>
    <w:qFormat/>
    <w:uiPriority w:val="0"/>
    <w:pPr>
      <w:tabs>
        <w:tab w:val="left" w:pos="360"/>
      </w:tabs>
      <w:spacing w:before="0" w:after="0"/>
      <w:outlineLvl w:val="2"/>
    </w:pPr>
  </w:style>
  <w:style w:type="paragraph" w:customStyle="1" w:styleId="513">
    <w:name w:val="正文样式1"/>
    <w:basedOn w:val="1"/>
    <w:autoRedefine/>
    <w:qFormat/>
    <w:uiPriority w:val="0"/>
    <w:pPr>
      <w:adjustRightInd w:val="0"/>
      <w:spacing w:line="360" w:lineRule="auto"/>
      <w:ind w:firstLine="510"/>
      <w:textAlignment w:val="baseline"/>
    </w:pPr>
    <w:rPr>
      <w:rFonts w:ascii="Times New Roman" w:hAnsi="Times New Roman" w:eastAsia="宋体" w:cs="Times New Roman"/>
      <w:spacing w:val="8"/>
      <w:kern w:val="0"/>
      <w:sz w:val="24"/>
      <w:szCs w:val="21"/>
    </w:rPr>
  </w:style>
  <w:style w:type="paragraph" w:customStyle="1" w:styleId="514">
    <w:name w:val="中气正文"/>
    <w:basedOn w:val="1"/>
    <w:autoRedefine/>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515">
    <w:name w:val="表格 32"/>
    <w:basedOn w:val="1"/>
    <w:autoRedefine/>
    <w:qFormat/>
    <w:uiPriority w:val="0"/>
    <w:pPr>
      <w:autoSpaceDE w:val="0"/>
      <w:autoSpaceDN w:val="0"/>
      <w:adjustRightInd w:val="0"/>
      <w:jc w:val="center"/>
      <w:textAlignment w:val="baseline"/>
    </w:pPr>
    <w:rPr>
      <w:rFonts w:ascii="Times New Roman" w:hAnsi="Times New Roman" w:eastAsia="宋体" w:cs="Times New Roman"/>
      <w:kern w:val="0"/>
      <w:szCs w:val="21"/>
    </w:rPr>
  </w:style>
  <w:style w:type="paragraph" w:customStyle="1" w:styleId="516">
    <w:name w:val="612正文"/>
    <w:basedOn w:val="1"/>
    <w:autoRedefine/>
    <w:qFormat/>
    <w:uiPriority w:val="0"/>
    <w:pPr>
      <w:spacing w:before="120" w:after="120" w:line="360" w:lineRule="atLeast"/>
      <w:ind w:firstLine="480" w:firstLineChars="200"/>
    </w:pPr>
    <w:rPr>
      <w:rFonts w:ascii="Times New Roman" w:hAnsi="Times New Roman" w:eastAsia="仿宋_GB2312" w:cs="Times New Roman"/>
      <w:sz w:val="24"/>
      <w:szCs w:val="20"/>
    </w:rPr>
  </w:style>
  <w:style w:type="paragraph" w:customStyle="1" w:styleId="517">
    <w:name w:val="Char Char Char Char Char Char3 Char Char Char Char Char Char Char"/>
    <w:basedOn w:val="1"/>
    <w:next w:val="1"/>
    <w:autoRedefine/>
    <w:qFormat/>
    <w:uiPriority w:val="0"/>
    <w:rPr>
      <w:rFonts w:ascii="Times New Roman" w:hAnsi="Times New Roman" w:eastAsia="宋体" w:cs="Times New Roman"/>
      <w:szCs w:val="24"/>
    </w:rPr>
  </w:style>
  <w:style w:type="paragraph" w:customStyle="1" w:styleId="518">
    <w:name w:val="表内字"/>
    <w:basedOn w:val="1"/>
    <w:autoRedefine/>
    <w:qFormat/>
    <w:uiPriority w:val="0"/>
    <w:pPr>
      <w:spacing w:line="360" w:lineRule="exact"/>
      <w:jc w:val="center"/>
    </w:pPr>
    <w:rPr>
      <w:rFonts w:ascii="宋体" w:hAnsi="宋体" w:eastAsia="宋体" w:cs="Times New Roman"/>
      <w:color w:val="000000"/>
      <w:szCs w:val="21"/>
    </w:rPr>
  </w:style>
  <w:style w:type="paragraph" w:customStyle="1" w:styleId="519">
    <w:name w:val="无间隔1"/>
    <w:autoRedefine/>
    <w:qFormat/>
    <w:uiPriority w:val="0"/>
    <w:pPr>
      <w:widowControl w:val="0"/>
      <w:jc w:val="center"/>
      <w:outlineLvl w:val="7"/>
    </w:pPr>
    <w:rPr>
      <w:rFonts w:ascii="Times New Roman" w:hAnsi="Times New Roman" w:eastAsia="宋体" w:cs="Times New Roman"/>
      <w:kern w:val="2"/>
      <w:sz w:val="21"/>
      <w:szCs w:val="24"/>
      <w:lang w:val="en-US" w:eastAsia="zh-CN" w:bidi="ar-SA"/>
    </w:rPr>
  </w:style>
  <w:style w:type="paragraph" w:customStyle="1" w:styleId="520">
    <w:name w:val="正文 首行缩进:  2 字符"/>
    <w:basedOn w:val="1"/>
    <w:autoRedefine/>
    <w:qFormat/>
    <w:uiPriority w:val="0"/>
    <w:pPr>
      <w:adjustRightInd w:val="0"/>
      <w:snapToGrid w:val="0"/>
      <w:spacing w:line="500" w:lineRule="exact"/>
      <w:ind w:firstLine="200" w:firstLineChars="200"/>
      <w:jc w:val="left"/>
    </w:pPr>
    <w:rPr>
      <w:rFonts w:ascii="Calibri" w:hAnsi="Calibri" w:eastAsia="宋体" w:cs="宋体"/>
      <w:sz w:val="24"/>
      <w:szCs w:val="21"/>
    </w:rPr>
  </w:style>
  <w:style w:type="paragraph" w:customStyle="1" w:styleId="521">
    <w:name w:val="Normal_3"/>
    <w:autoRedefine/>
    <w:qFormat/>
    <w:uiPriority w:val="0"/>
    <w:pPr>
      <w:spacing w:before="120" w:after="240"/>
      <w:jc w:val="both"/>
    </w:pPr>
    <w:rPr>
      <w:rFonts w:ascii="Times New Roman" w:hAnsi="Times New Roman" w:eastAsia="Times New Roman" w:cs="Times New Roman"/>
      <w:sz w:val="22"/>
      <w:szCs w:val="22"/>
      <w:lang w:val="ru-RU" w:eastAsia="en-US" w:bidi="ar-SA"/>
    </w:rPr>
  </w:style>
  <w:style w:type="paragraph" w:customStyle="1" w:styleId="522">
    <w:name w:val="标题 61"/>
    <w:basedOn w:val="1"/>
    <w:autoRedefine/>
    <w:qFormat/>
    <w:uiPriority w:val="1"/>
    <w:pPr>
      <w:ind w:left="105"/>
      <w:jc w:val="left"/>
      <w:outlineLvl w:val="6"/>
    </w:pPr>
    <w:rPr>
      <w:rFonts w:ascii="宋体" w:hAnsi="宋体" w:eastAsia="宋体" w:cs="Times New Roman"/>
      <w:b/>
      <w:bCs/>
      <w:kern w:val="0"/>
      <w:sz w:val="24"/>
      <w:szCs w:val="24"/>
      <w:lang w:eastAsia="en-US"/>
    </w:rPr>
  </w:style>
  <w:style w:type="paragraph" w:customStyle="1" w:styleId="523">
    <w:name w:val="正文缩进1"/>
    <w:basedOn w:val="1"/>
    <w:autoRedefine/>
    <w:qFormat/>
    <w:uiPriority w:val="0"/>
    <w:pPr>
      <w:ind w:firstLine="420"/>
    </w:pPr>
    <w:rPr>
      <w:rFonts w:ascii="Calibri" w:hAnsi="Calibri" w:eastAsia="宋体" w:cs="Times New Roman"/>
    </w:rPr>
  </w:style>
  <w:style w:type="paragraph" w:customStyle="1" w:styleId="524">
    <w:name w:val="Char1 Char Char Char Char Char Char Char Char1 Char Char Char Char Char Char Char"/>
    <w:basedOn w:val="1"/>
    <w:autoRedefine/>
    <w:qFormat/>
    <w:uiPriority w:val="0"/>
    <w:pPr>
      <w:snapToGrid w:val="0"/>
      <w:spacing w:line="360" w:lineRule="auto"/>
      <w:ind w:firstLine="200" w:firstLineChars="200"/>
    </w:pPr>
    <w:rPr>
      <w:rFonts w:ascii="Times New Roman" w:hAnsi="Times New Roman" w:eastAsia="宋体" w:cs="Times New Roman"/>
      <w:szCs w:val="20"/>
    </w:rPr>
  </w:style>
  <w:style w:type="paragraph" w:customStyle="1" w:styleId="525">
    <w:name w:val="表头 Char"/>
    <w:basedOn w:val="1"/>
    <w:autoRedefine/>
    <w:qFormat/>
    <w:uiPriority w:val="0"/>
    <w:pPr>
      <w:tabs>
        <w:tab w:val="left" w:pos="1021"/>
      </w:tabs>
      <w:spacing w:line="360" w:lineRule="auto"/>
      <w:jc w:val="center"/>
    </w:pPr>
    <w:rPr>
      <w:rFonts w:ascii="宋体" w:hAnsi="宋体" w:eastAsia="宋体" w:cs="Times New Roman"/>
      <w:b/>
      <w:bCs/>
      <w:kern w:val="24"/>
      <w:sz w:val="24"/>
      <w:szCs w:val="24"/>
    </w:rPr>
  </w:style>
  <w:style w:type="paragraph" w:customStyle="1" w:styleId="526">
    <w:name w:val="Char Char Char Char Char Char Char"/>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527">
    <w:name w:val="_Style 1"/>
    <w:autoRedefine/>
    <w:qFormat/>
    <w:uiPriority w:val="1"/>
    <w:pPr>
      <w:adjustRightInd w:val="0"/>
      <w:snapToGrid w:val="0"/>
      <w:spacing w:line="360" w:lineRule="auto"/>
      <w:jc w:val="center"/>
    </w:pPr>
    <w:rPr>
      <w:rFonts w:ascii="Tahoma" w:hAnsi="Tahoma" w:eastAsia="宋体" w:cs="Times New Roman"/>
      <w:sz w:val="24"/>
      <w:szCs w:val="22"/>
      <w:lang w:val="en-US" w:eastAsia="zh-CN" w:bidi="ar-SA"/>
    </w:rPr>
  </w:style>
  <w:style w:type="paragraph" w:customStyle="1" w:styleId="528">
    <w:name w:val="正文(首行缩进2字)"/>
    <w:basedOn w:val="1"/>
    <w:next w:val="1"/>
    <w:autoRedefine/>
    <w:qFormat/>
    <w:uiPriority w:val="0"/>
    <w:pPr>
      <w:adjustRightInd w:val="0"/>
      <w:spacing w:line="360" w:lineRule="auto"/>
      <w:ind w:firstLine="480" w:firstLineChars="200"/>
      <w:jc w:val="center"/>
      <w:textAlignment w:val="baseline"/>
    </w:pPr>
    <w:rPr>
      <w:rFonts w:ascii="Times New Roman" w:hAnsi="Times New Roman" w:eastAsia="宋体" w:cs="Times New Roman"/>
      <w:kern w:val="0"/>
      <w:sz w:val="24"/>
      <w:szCs w:val="20"/>
    </w:rPr>
  </w:style>
  <w:style w:type="paragraph" w:customStyle="1" w:styleId="529">
    <w:name w:val="文本1"/>
    <w:basedOn w:val="1"/>
    <w:autoRedefine/>
    <w:qFormat/>
    <w:uiPriority w:val="0"/>
    <w:pPr>
      <w:adjustRightInd w:val="0"/>
      <w:snapToGrid w:val="0"/>
      <w:spacing w:line="360" w:lineRule="auto"/>
      <w:ind w:firstLine="514" w:firstLineChars="200"/>
    </w:pPr>
    <w:rPr>
      <w:rFonts w:ascii="宋体" w:hAnsi="宋体" w:eastAsia="宋体" w:cs="Times New Roman"/>
      <w:kern w:val="0"/>
      <w:sz w:val="24"/>
      <w:szCs w:val="24"/>
    </w:rPr>
  </w:style>
  <w:style w:type="paragraph" w:customStyle="1" w:styleId="530">
    <w:name w:val="样式 样式 标题 1 + 三号 两端对齐 左侧:  0 厘米 首行缩进:  0 厘米 段前: 0 磅 段后: 0 磅 + (中文..."/>
    <w:basedOn w:val="531"/>
    <w:autoRedefine/>
    <w:qFormat/>
    <w:uiPriority w:val="0"/>
    <w:pPr>
      <w:tabs>
        <w:tab w:val="left" w:pos="3332"/>
      </w:tabs>
    </w:pPr>
    <w:rPr>
      <w:rFonts w:eastAsia="宋体"/>
    </w:rPr>
  </w:style>
  <w:style w:type="paragraph" w:customStyle="1" w:styleId="531">
    <w:name w:val="样式 标题 1 + 三号 两端对齐 左侧:  0 厘米 首行缩进:  0 厘米 段前: 0 磅 段后: 0 磅"/>
    <w:basedOn w:val="2"/>
    <w:autoRedefine/>
    <w:qFormat/>
    <w:uiPriority w:val="0"/>
    <w:pPr>
      <w:tabs>
        <w:tab w:val="left" w:pos="3332"/>
      </w:tabs>
      <w:adjustRightInd w:val="0"/>
      <w:snapToGrid w:val="0"/>
      <w:spacing w:line="360" w:lineRule="auto"/>
    </w:pPr>
    <w:rPr>
      <w:rFonts w:ascii="Times New Roman" w:hAnsi="Times New Roman" w:eastAsia="Times New Roman" w:cs="宋体"/>
      <w:bCs/>
      <w:sz w:val="32"/>
      <w:szCs w:val="20"/>
    </w:rPr>
  </w:style>
  <w:style w:type="paragraph" w:customStyle="1" w:styleId="532">
    <w:name w:val="默认段落字体 Para Char Char Char Char Char Char Char Char Char Char Char Char Char1 Char"/>
    <w:basedOn w:val="20"/>
    <w:autoRedefine/>
    <w:qFormat/>
    <w:uiPriority w:val="0"/>
    <w:pPr>
      <w:shd w:val="clear" w:color="auto" w:fill="000080"/>
    </w:pPr>
    <w:rPr>
      <w:rFonts w:ascii="Times New Roman" w:hAnsi="Times New Roman" w:cs="Times New Roman"/>
      <w:bCs/>
      <w:sz w:val="24"/>
      <w:szCs w:val="24"/>
    </w:rPr>
  </w:style>
  <w:style w:type="paragraph" w:customStyle="1" w:styleId="533">
    <w:name w:val="lemmawgt-lemmatitle-title"/>
    <w:basedOn w:val="1"/>
    <w:autoRedefine/>
    <w:qFormat/>
    <w:uiPriority w:val="0"/>
    <w:pPr>
      <w:spacing w:after="75"/>
      <w:jc w:val="left"/>
    </w:pPr>
    <w:rPr>
      <w:rFonts w:ascii="Times New Roman" w:hAnsi="Times New Roman" w:eastAsia="宋体" w:cs="Times New Roman"/>
      <w:kern w:val="0"/>
      <w:szCs w:val="21"/>
    </w:rPr>
  </w:style>
  <w:style w:type="paragraph" w:customStyle="1" w:styleId="534">
    <w:name w:val="样式10"/>
    <w:basedOn w:val="4"/>
    <w:autoRedefine/>
    <w:qFormat/>
    <w:uiPriority w:val="0"/>
    <w:pPr>
      <w:snapToGrid w:val="0"/>
      <w:spacing w:before="140" w:after="140" w:line="120" w:lineRule="exact"/>
      <w:ind w:left="576" w:hanging="576"/>
    </w:pPr>
    <w:rPr>
      <w:rFonts w:ascii="Times New Roman" w:hAnsi="Times New Roman" w:cs="Times New Roman"/>
      <w:b w:val="0"/>
      <w:bCs/>
      <w:kern w:val="0"/>
      <w:sz w:val="28"/>
      <w:szCs w:val="28"/>
    </w:rPr>
  </w:style>
  <w:style w:type="paragraph" w:customStyle="1" w:styleId="535">
    <w:name w:val="CM48"/>
    <w:basedOn w:val="77"/>
    <w:next w:val="77"/>
    <w:autoRedefine/>
    <w:qFormat/>
    <w:uiPriority w:val="0"/>
    <w:pPr>
      <w:spacing w:line="440" w:lineRule="atLeast"/>
    </w:pPr>
    <w:rPr>
      <w:rFonts w:hAnsi="Calibri" w:eastAsia="宋体" w:cs="Times New Roman"/>
      <w:color w:val="auto"/>
      <w:kern w:val="0"/>
    </w:rPr>
  </w:style>
  <w:style w:type="paragraph" w:customStyle="1" w:styleId="536">
    <w:name w:val="标题 21"/>
    <w:basedOn w:val="1"/>
    <w:next w:val="1"/>
    <w:autoRedefine/>
    <w:qFormat/>
    <w:uiPriority w:val="0"/>
    <w:pPr>
      <w:keepNext/>
      <w:keepLines/>
      <w:snapToGrid w:val="0"/>
      <w:spacing w:line="360" w:lineRule="auto"/>
      <w:ind w:left="576" w:hanging="576"/>
      <w:outlineLvl w:val="1"/>
    </w:pPr>
    <w:rPr>
      <w:rFonts w:hint="eastAsia" w:ascii="Times New Roman" w:hAnsi="Times New Roman" w:eastAsia="黑体" w:cs="Times New Roman"/>
      <w:sz w:val="28"/>
      <w:szCs w:val="20"/>
    </w:rPr>
  </w:style>
  <w:style w:type="paragraph" w:customStyle="1" w:styleId="537">
    <w:name w:val="正文格式"/>
    <w:basedOn w:val="1"/>
    <w:autoRedefine/>
    <w:qFormat/>
    <w:uiPriority w:val="0"/>
    <w:rPr>
      <w:rFonts w:hint="eastAsia" w:ascii="Times New Roman" w:hAnsi="宋体" w:eastAsia="宋体" w:cs="Times New Roman"/>
      <w:sz w:val="28"/>
      <w:szCs w:val="28"/>
    </w:rPr>
  </w:style>
  <w:style w:type="paragraph" w:customStyle="1" w:styleId="538">
    <w:name w:val="表格中的文字"/>
    <w:basedOn w:val="1"/>
    <w:autoRedefine/>
    <w:qFormat/>
    <w:uiPriority w:val="0"/>
    <w:pPr>
      <w:jc w:val="center"/>
    </w:pPr>
    <w:rPr>
      <w:rFonts w:ascii="宋体" w:hAnsi="宋体" w:eastAsia="宋体" w:cs="宋体"/>
      <w:kern w:val="0"/>
      <w:szCs w:val="20"/>
    </w:rPr>
  </w:style>
  <w:style w:type="paragraph" w:customStyle="1" w:styleId="539">
    <w:name w:val="reader-word-layer reader-word-s1-4"/>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40">
    <w:name w:val="正文文本 (2)1"/>
    <w:basedOn w:val="1"/>
    <w:autoRedefine/>
    <w:qFormat/>
    <w:uiPriority w:val="99"/>
    <w:pPr>
      <w:shd w:val="clear" w:color="auto" w:fill="FFFFFF"/>
      <w:spacing w:line="240" w:lineRule="atLeast"/>
      <w:ind w:hanging="1500"/>
      <w:jc w:val="left"/>
    </w:pPr>
    <w:rPr>
      <w:rFonts w:ascii="MingLiU" w:hAnsi="Times New Roman" w:eastAsia="MingLiU" w:cs="Times New Roman"/>
      <w:kern w:val="0"/>
      <w:sz w:val="22"/>
      <w:szCs w:val="21"/>
    </w:rPr>
  </w:style>
  <w:style w:type="paragraph" w:customStyle="1" w:styleId="541">
    <w:name w:val="目录 51"/>
    <w:basedOn w:val="1"/>
    <w:autoRedefine/>
    <w:qFormat/>
    <w:uiPriority w:val="1"/>
    <w:pPr>
      <w:widowControl/>
      <w:spacing w:before="53"/>
      <w:ind w:left="757"/>
      <w:jc w:val="left"/>
    </w:pPr>
    <w:rPr>
      <w:rFonts w:ascii="宋体" w:hAnsi="宋体" w:eastAsia="宋体" w:cs="宋体"/>
      <w:kern w:val="0"/>
      <w:szCs w:val="21"/>
    </w:rPr>
  </w:style>
  <w:style w:type="paragraph" w:customStyle="1" w:styleId="542">
    <w:name w:val="样式 (中文) 楷体_GB2312 小四 行距: 1.5 倍行距1"/>
    <w:basedOn w:val="1"/>
    <w:next w:val="1"/>
    <w:autoRedefine/>
    <w:qFormat/>
    <w:uiPriority w:val="0"/>
    <w:pPr>
      <w:widowControl/>
      <w:spacing w:line="360" w:lineRule="auto"/>
      <w:ind w:firstLine="480" w:firstLineChars="200"/>
      <w:jc w:val="left"/>
    </w:pPr>
    <w:rPr>
      <w:rFonts w:ascii="宋体" w:hAnsi="宋体" w:eastAsia="楷体_GB2312" w:cs="宋体"/>
      <w:kern w:val="0"/>
      <w:sz w:val="24"/>
      <w:szCs w:val="21"/>
    </w:rPr>
  </w:style>
  <w:style w:type="paragraph" w:customStyle="1" w:styleId="543">
    <w:name w:val="表格正文"/>
    <w:basedOn w:val="1"/>
    <w:autoRedefine/>
    <w:qFormat/>
    <w:uiPriority w:val="0"/>
    <w:pPr>
      <w:snapToGrid w:val="0"/>
      <w:jc w:val="center"/>
    </w:pPr>
    <w:rPr>
      <w:rFonts w:ascii="Times New Roman" w:hAnsi="Times New Roman" w:eastAsia="宋体" w:cs="Times New Roman"/>
      <w:szCs w:val="24"/>
    </w:rPr>
  </w:style>
  <w:style w:type="paragraph" w:customStyle="1" w:styleId="544">
    <w:name w:val="Char2"/>
    <w:basedOn w:val="1"/>
    <w:autoRedefine/>
    <w:qFormat/>
    <w:uiPriority w:val="0"/>
    <w:rPr>
      <w:rFonts w:ascii="Times New Roman" w:hAnsi="Times New Roman" w:eastAsia="宋体" w:cs="Times New Roman"/>
      <w:szCs w:val="21"/>
    </w:rPr>
  </w:style>
  <w:style w:type="paragraph" w:customStyle="1" w:styleId="545">
    <w:name w:val="p15"/>
    <w:basedOn w:val="1"/>
    <w:autoRedefine/>
    <w:qFormat/>
    <w:uiPriority w:val="0"/>
    <w:pPr>
      <w:widowControl/>
      <w:spacing w:line="500" w:lineRule="atLeast"/>
      <w:jc w:val="center"/>
    </w:pPr>
    <w:rPr>
      <w:rFonts w:ascii="Calibri" w:hAnsi="Calibri" w:eastAsia="宋体" w:cs="Times New Roman"/>
      <w:kern w:val="0"/>
      <w:sz w:val="30"/>
      <w:szCs w:val="30"/>
    </w:rPr>
  </w:style>
  <w:style w:type="paragraph" w:customStyle="1" w:styleId="546">
    <w:name w:val="acee正文"/>
    <w:basedOn w:val="1"/>
    <w:autoRedefine/>
    <w:qFormat/>
    <w:uiPriority w:val="0"/>
    <w:pPr>
      <w:spacing w:line="480" w:lineRule="exact"/>
      <w:ind w:firstLine="640" w:firstLineChars="200"/>
    </w:pPr>
    <w:rPr>
      <w:rFonts w:ascii="仿宋_GB2312" w:hAnsi="宋体" w:eastAsia="仿宋_GB2312" w:cs="Times New Roman"/>
      <w:sz w:val="32"/>
      <w:szCs w:val="21"/>
    </w:rPr>
  </w:style>
  <w:style w:type="paragraph" w:customStyle="1" w:styleId="547">
    <w:name w:val="样式 表格 32 + 首行缩进:  2 字符"/>
    <w:basedOn w:val="515"/>
    <w:autoRedefine/>
    <w:qFormat/>
    <w:uiPriority w:val="0"/>
    <w:pPr>
      <w:spacing w:line="0" w:lineRule="atLeast"/>
    </w:pPr>
  </w:style>
  <w:style w:type="paragraph" w:customStyle="1" w:styleId="548">
    <w:name w:val="CM13"/>
    <w:basedOn w:val="77"/>
    <w:next w:val="77"/>
    <w:autoRedefine/>
    <w:qFormat/>
    <w:uiPriority w:val="0"/>
    <w:pPr>
      <w:spacing w:line="466" w:lineRule="atLeast"/>
    </w:pPr>
    <w:rPr>
      <w:rFonts w:hAnsi="Calibri" w:eastAsia="宋体" w:cs="Times New Roman"/>
      <w:color w:val="auto"/>
      <w:kern w:val="0"/>
    </w:rPr>
  </w:style>
  <w:style w:type="paragraph" w:customStyle="1" w:styleId="549">
    <w:name w:val="font6"/>
    <w:basedOn w:val="1"/>
    <w:autoRedefine/>
    <w:qFormat/>
    <w:uiPriority w:val="0"/>
    <w:pPr>
      <w:widowControl/>
      <w:spacing w:before="100" w:after="100"/>
      <w:jc w:val="left"/>
    </w:pPr>
    <w:rPr>
      <w:rFonts w:ascii="Calibri" w:hAnsi="Calibri" w:eastAsia="Arial Unicode MS" w:cs="Times New Roman"/>
      <w:kern w:val="0"/>
      <w:sz w:val="24"/>
      <w:szCs w:val="20"/>
    </w:rPr>
  </w:style>
  <w:style w:type="paragraph" w:customStyle="1" w:styleId="550">
    <w:name w:val="xl40"/>
    <w:basedOn w:val="1"/>
    <w:autoRedefine/>
    <w:qFormat/>
    <w:uiPriority w:val="0"/>
    <w:pPr>
      <w:widowControl/>
      <w:pBdr>
        <w:left w:val="double" w:color="auto" w:sz="6"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Times New Roman"/>
      <w:kern w:val="0"/>
      <w:sz w:val="24"/>
      <w:szCs w:val="21"/>
    </w:rPr>
  </w:style>
  <w:style w:type="paragraph" w:customStyle="1" w:styleId="551">
    <w:name w:val="amgfeg"/>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52">
    <w:name w:val="CM78"/>
    <w:basedOn w:val="77"/>
    <w:next w:val="77"/>
    <w:autoRedefine/>
    <w:qFormat/>
    <w:uiPriority w:val="0"/>
    <w:pPr>
      <w:spacing w:after="173"/>
    </w:pPr>
    <w:rPr>
      <w:rFonts w:hAnsi="Calibri" w:eastAsia="宋体" w:cs="Times New Roman"/>
      <w:color w:val="auto"/>
      <w:kern w:val="0"/>
    </w:rPr>
  </w:style>
  <w:style w:type="paragraph" w:customStyle="1" w:styleId="553">
    <w:name w:val="段落 Char Char Char"/>
    <w:basedOn w:val="1"/>
    <w:autoRedefine/>
    <w:qFormat/>
    <w:uiPriority w:val="0"/>
    <w:pPr>
      <w:tabs>
        <w:tab w:val="left" w:pos="1021"/>
      </w:tabs>
      <w:spacing w:line="360" w:lineRule="auto"/>
      <w:ind w:firstLine="480" w:firstLineChars="200"/>
    </w:pPr>
    <w:rPr>
      <w:rFonts w:ascii="Times New Roman" w:hAnsi="Times New Roman" w:eastAsia="宋体" w:cs="Times New Roman"/>
      <w:bCs/>
      <w:sz w:val="24"/>
      <w:szCs w:val="21"/>
    </w:rPr>
  </w:style>
  <w:style w:type="paragraph" w:customStyle="1" w:styleId="554">
    <w:name w:val="样式 正文缩进正文缩进 Char表格标题标题4正文不缩进s4正文2首行缩进两字正文缩进1 + 首行缩进:  2 ..."/>
    <w:basedOn w:val="17"/>
    <w:autoRedefine/>
    <w:qFormat/>
    <w:uiPriority w:val="0"/>
    <w:pPr>
      <w:ind w:firstLine="480" w:firstLineChars="200"/>
      <w:jc w:val="both"/>
    </w:pPr>
    <w:rPr>
      <w:rFonts w:ascii="宋体" w:hAnsi="宋体" w:eastAsia="宋体" w:cs="宋体"/>
      <w:szCs w:val="20"/>
    </w:rPr>
  </w:style>
  <w:style w:type="paragraph" w:customStyle="1" w:styleId="555">
    <w:name w:val="ST20_1"/>
    <w:basedOn w:val="1"/>
    <w:autoRedefine/>
    <w:qFormat/>
    <w:uiPriority w:val="0"/>
    <w:pPr>
      <w:autoSpaceDE w:val="0"/>
      <w:autoSpaceDN w:val="0"/>
      <w:adjustRightInd w:val="0"/>
      <w:spacing w:line="312" w:lineRule="atLeast"/>
      <w:jc w:val="center"/>
      <w:textAlignment w:val="baseline"/>
    </w:pPr>
    <w:rPr>
      <w:rFonts w:ascii="宋体" w:hAnsi="Tms Rmn" w:eastAsia="宋体" w:cs="Times New Roman"/>
      <w:kern w:val="0"/>
      <w:sz w:val="24"/>
      <w:szCs w:val="20"/>
    </w:rPr>
  </w:style>
  <w:style w:type="character" w:customStyle="1" w:styleId="556">
    <w:name w:val="Char Char382"/>
    <w:autoRedefine/>
    <w:qFormat/>
    <w:uiPriority w:val="0"/>
    <w:rPr>
      <w:rFonts w:eastAsia="黑体"/>
      <w:bCs/>
      <w:kern w:val="44"/>
      <w:sz w:val="24"/>
      <w:szCs w:val="44"/>
      <w:lang w:val="en-US" w:eastAsia="zh-CN" w:bidi="ar-SA"/>
    </w:rPr>
  </w:style>
  <w:style w:type="character" w:customStyle="1" w:styleId="557">
    <w:name w:val="Char Char352"/>
    <w:autoRedefine/>
    <w:qFormat/>
    <w:uiPriority w:val="0"/>
    <w:rPr>
      <w:rFonts w:eastAsia="宋体"/>
      <w:bCs/>
      <w:kern w:val="2"/>
      <w:sz w:val="24"/>
      <w:szCs w:val="28"/>
      <w:lang w:val="en-US" w:eastAsia="zh-CN" w:bidi="ar-SA"/>
    </w:rPr>
  </w:style>
  <w:style w:type="character" w:customStyle="1" w:styleId="558">
    <w:name w:val="Char Char42"/>
    <w:autoRedefine/>
    <w:qFormat/>
    <w:uiPriority w:val="0"/>
    <w:rPr>
      <w:rFonts w:ascii="Times New Roman" w:hAnsi="Times New Roman" w:eastAsia="宋体" w:cs="Times New Roman"/>
      <w:kern w:val="2"/>
      <w:sz w:val="28"/>
      <w:szCs w:val="20"/>
      <w:lang w:val="en-US" w:eastAsia="zh-CN" w:bidi="ar-SA"/>
    </w:rPr>
  </w:style>
  <w:style w:type="character" w:customStyle="1" w:styleId="559">
    <w:name w:val="Char Char372"/>
    <w:autoRedefine/>
    <w:qFormat/>
    <w:uiPriority w:val="0"/>
    <w:rPr>
      <w:rFonts w:eastAsia="黑体"/>
      <w:bCs/>
      <w:kern w:val="2"/>
      <w:sz w:val="24"/>
      <w:szCs w:val="32"/>
      <w:lang w:val="en-US" w:eastAsia="zh-CN" w:bidi="ar-SA"/>
    </w:rPr>
  </w:style>
  <w:style w:type="character" w:customStyle="1" w:styleId="560">
    <w:name w:val="Char1 Char Char2"/>
    <w:link w:val="561"/>
    <w:autoRedefine/>
    <w:qFormat/>
    <w:uiPriority w:val="0"/>
    <w:rPr>
      <w:kern w:val="2"/>
      <w:sz w:val="21"/>
      <w:szCs w:val="21"/>
    </w:rPr>
  </w:style>
  <w:style w:type="paragraph" w:customStyle="1" w:styleId="561">
    <w:name w:val="Char11"/>
    <w:basedOn w:val="1"/>
    <w:link w:val="560"/>
    <w:autoRedefine/>
    <w:qFormat/>
    <w:uiPriority w:val="0"/>
    <w:rPr>
      <w:rFonts w:ascii="Times New Roman" w:hAnsi="Times New Roman" w:eastAsia="宋体" w:cs="Times New Roman"/>
      <w:szCs w:val="21"/>
    </w:rPr>
  </w:style>
  <w:style w:type="character" w:customStyle="1" w:styleId="562">
    <w:name w:val="Char Char342"/>
    <w:autoRedefine/>
    <w:qFormat/>
    <w:uiPriority w:val="0"/>
    <w:rPr>
      <w:rFonts w:ascii="Calibri" w:hAnsi="Calibri" w:eastAsia="宋体"/>
      <w:bCs/>
      <w:kern w:val="2"/>
      <w:sz w:val="24"/>
      <w:szCs w:val="28"/>
      <w:lang w:val="en-US" w:eastAsia="zh-CN" w:bidi="ar-SA"/>
    </w:rPr>
  </w:style>
  <w:style w:type="character" w:customStyle="1" w:styleId="563">
    <w:name w:val="Char Char262"/>
    <w:autoRedefine/>
    <w:qFormat/>
    <w:uiPriority w:val="0"/>
    <w:rPr>
      <w:rFonts w:ascii="Calibri" w:hAnsi="Calibri" w:eastAsia="宋体" w:cs="Times New Roman"/>
      <w:kern w:val="2"/>
      <w:sz w:val="18"/>
      <w:szCs w:val="18"/>
    </w:rPr>
  </w:style>
  <w:style w:type="character" w:customStyle="1" w:styleId="564">
    <w:name w:val="Char Char212"/>
    <w:autoRedefine/>
    <w:qFormat/>
    <w:uiPriority w:val="0"/>
    <w:rPr>
      <w:rFonts w:eastAsia="黑体"/>
      <w:sz w:val="32"/>
      <w:szCs w:val="32"/>
      <w:lang w:val="en-US" w:eastAsia="zh-CN" w:bidi="ar-SA"/>
    </w:rPr>
  </w:style>
  <w:style w:type="character" w:customStyle="1" w:styleId="565">
    <w:name w:val="Char Char282"/>
    <w:autoRedefine/>
    <w:qFormat/>
    <w:uiPriority w:val="0"/>
    <w:rPr>
      <w:rFonts w:eastAsia="宋体"/>
      <w:b/>
      <w:bCs/>
      <w:kern w:val="2"/>
      <w:sz w:val="32"/>
      <w:szCs w:val="32"/>
      <w:lang w:val="en-US" w:eastAsia="zh-CN" w:bidi="ar-SA"/>
    </w:rPr>
  </w:style>
  <w:style w:type="character" w:customStyle="1" w:styleId="566">
    <w:name w:val="Char Char362"/>
    <w:autoRedefine/>
    <w:qFormat/>
    <w:uiPriority w:val="0"/>
    <w:rPr>
      <w:rFonts w:eastAsia="宋体"/>
      <w:bCs/>
      <w:kern w:val="2"/>
      <w:sz w:val="24"/>
      <w:szCs w:val="32"/>
      <w:lang w:val="en-US" w:eastAsia="zh-CN" w:bidi="ar-SA"/>
    </w:rPr>
  </w:style>
  <w:style w:type="character" w:customStyle="1" w:styleId="567">
    <w:name w:val="Char Char202"/>
    <w:autoRedefine/>
    <w:qFormat/>
    <w:uiPriority w:val="0"/>
    <w:rPr>
      <w:rFonts w:ascii="Calibri" w:hAnsi="Calibri"/>
      <w:b/>
      <w:kern w:val="2"/>
      <w:sz w:val="24"/>
      <w:szCs w:val="21"/>
    </w:rPr>
  </w:style>
  <w:style w:type="character" w:customStyle="1" w:styleId="568">
    <w:name w:val="Char Char192"/>
    <w:autoRedefine/>
    <w:qFormat/>
    <w:uiPriority w:val="0"/>
    <w:rPr>
      <w:rFonts w:eastAsia="宋体"/>
      <w:kern w:val="2"/>
      <w:sz w:val="18"/>
      <w:lang w:val="en-US" w:eastAsia="zh-CN" w:bidi="ar-SA"/>
    </w:rPr>
  </w:style>
  <w:style w:type="character" w:customStyle="1" w:styleId="569">
    <w:name w:val="Char Char292"/>
    <w:autoRedefine/>
    <w:qFormat/>
    <w:uiPriority w:val="0"/>
    <w:rPr>
      <w:rFonts w:eastAsia="黑体"/>
      <w:bCs/>
      <w:kern w:val="2"/>
      <w:sz w:val="28"/>
      <w:szCs w:val="32"/>
      <w:lang w:val="en-US" w:eastAsia="zh-CN" w:bidi="ar-SA"/>
    </w:rPr>
  </w:style>
  <w:style w:type="character" w:customStyle="1" w:styleId="570">
    <w:name w:val="Char Char272"/>
    <w:autoRedefine/>
    <w:qFormat/>
    <w:uiPriority w:val="0"/>
    <w:rPr>
      <w:rFonts w:ascii="Calibri" w:hAnsi="Calibri" w:eastAsia="宋体" w:cs="Times New Roman"/>
      <w:kern w:val="2"/>
      <w:sz w:val="21"/>
      <w:szCs w:val="21"/>
    </w:rPr>
  </w:style>
  <w:style w:type="paragraph" w:customStyle="1" w:styleId="571">
    <w:name w:val="正文4"/>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572">
    <w:name w:val="Char Char Char Char Char Char Char Char1"/>
    <w:basedOn w:val="1"/>
    <w:autoRedefine/>
    <w:qFormat/>
    <w:uiPriority w:val="0"/>
    <w:rPr>
      <w:rFonts w:ascii="Times New Roman" w:hAnsi="Times New Roman" w:eastAsia="宋体" w:cs="Times New Roman"/>
      <w:sz w:val="24"/>
      <w:szCs w:val="24"/>
    </w:rPr>
  </w:style>
  <w:style w:type="paragraph" w:customStyle="1" w:styleId="573">
    <w:name w:val="普通(网站)2"/>
    <w:basedOn w:val="1"/>
    <w:autoRedefine/>
    <w:qFormat/>
    <w:uiPriority w:val="0"/>
    <w:pPr>
      <w:widowControl/>
      <w:spacing w:before="100" w:beforeAutospacing="1" w:after="100" w:afterAutospacing="1"/>
      <w:jc w:val="left"/>
    </w:pPr>
    <w:rPr>
      <w:rFonts w:hint="eastAsia" w:ascii="宋体" w:hAnsi="宋体" w:eastAsia="宋体" w:cs="Times New Roman"/>
      <w:sz w:val="24"/>
      <w:szCs w:val="20"/>
    </w:rPr>
  </w:style>
  <w:style w:type="paragraph" w:customStyle="1" w:styleId="574">
    <w:name w:val="列出段落3"/>
    <w:basedOn w:val="1"/>
    <w:autoRedefine/>
    <w:qFormat/>
    <w:uiPriority w:val="0"/>
    <w:pPr>
      <w:ind w:firstLine="420" w:firstLineChars="200"/>
    </w:pPr>
    <w:rPr>
      <w:rFonts w:ascii="Calibri" w:hAnsi="Calibri" w:eastAsia="宋体" w:cs="Times New Roman"/>
    </w:rPr>
  </w:style>
  <w:style w:type="paragraph" w:customStyle="1" w:styleId="575">
    <w:name w:val="标题 42"/>
    <w:basedOn w:val="1"/>
    <w:autoRedefine/>
    <w:qFormat/>
    <w:uiPriority w:val="0"/>
    <w:pPr>
      <w:tabs>
        <w:tab w:val="left" w:pos="454"/>
        <w:tab w:val="left" w:pos="848"/>
      </w:tabs>
      <w:spacing w:line="360" w:lineRule="auto"/>
      <w:ind w:left="848" w:hanging="748"/>
    </w:pPr>
    <w:rPr>
      <w:rFonts w:ascii="Times New Roman" w:hAnsi="Times New Roman" w:eastAsia="宋体" w:cs="Times New Roman"/>
      <w:sz w:val="24"/>
      <w:szCs w:val="24"/>
    </w:rPr>
  </w:style>
  <w:style w:type="paragraph" w:customStyle="1" w:styleId="576">
    <w:name w:val="标题 22"/>
    <w:basedOn w:val="1"/>
    <w:next w:val="1"/>
    <w:autoRedefine/>
    <w:qFormat/>
    <w:uiPriority w:val="0"/>
    <w:pPr>
      <w:keepNext/>
      <w:keepLines/>
      <w:snapToGrid w:val="0"/>
      <w:spacing w:line="360" w:lineRule="auto"/>
      <w:ind w:left="576" w:hanging="576"/>
      <w:outlineLvl w:val="1"/>
    </w:pPr>
    <w:rPr>
      <w:rFonts w:hint="eastAsia" w:ascii="Times New Roman" w:hAnsi="Times New Roman" w:eastAsia="黑体" w:cs="Times New Roman"/>
      <w:sz w:val="28"/>
      <w:szCs w:val="20"/>
    </w:rPr>
  </w:style>
  <w:style w:type="paragraph" w:customStyle="1" w:styleId="577">
    <w:name w:val="Char2 Char Char Char1"/>
    <w:basedOn w:val="1"/>
    <w:autoRedefine/>
    <w:qFormat/>
    <w:uiPriority w:val="0"/>
    <w:pPr>
      <w:spacing w:line="360" w:lineRule="auto"/>
      <w:ind w:firstLine="200" w:firstLineChars="200"/>
    </w:pPr>
    <w:rPr>
      <w:rFonts w:ascii="宋体" w:hAnsi="宋体" w:eastAsia="宋体" w:cs="宋体"/>
      <w:szCs w:val="24"/>
    </w:rPr>
  </w:style>
  <w:style w:type="paragraph" w:customStyle="1" w:styleId="578">
    <w:name w:val="标题 32"/>
    <w:autoRedefine/>
    <w:qFormat/>
    <w:uiPriority w:val="0"/>
    <w:pPr>
      <w:keepNext/>
      <w:keepLines/>
      <w:spacing w:before="260" w:after="260" w:line="413" w:lineRule="auto"/>
      <w:ind w:firstLine="200" w:firstLineChars="200"/>
      <w:outlineLvl w:val="2"/>
    </w:pPr>
    <w:rPr>
      <w:rFonts w:hint="eastAsia" w:ascii="Times New Roman" w:hAnsi="Times New Roman" w:eastAsia="宋体" w:cs="Times New Roman"/>
      <w:b/>
      <w:sz w:val="32"/>
      <w:lang w:val="en-US" w:eastAsia="zh-CN" w:bidi="ar-SA"/>
    </w:rPr>
  </w:style>
  <w:style w:type="paragraph" w:customStyle="1" w:styleId="579">
    <w:name w:val="Char3"/>
    <w:basedOn w:val="1"/>
    <w:autoRedefine/>
    <w:qFormat/>
    <w:uiPriority w:val="0"/>
    <w:pPr>
      <w:snapToGrid w:val="0"/>
      <w:spacing w:line="360" w:lineRule="auto"/>
      <w:ind w:firstLine="529" w:firstLineChars="200"/>
    </w:pPr>
    <w:rPr>
      <w:rFonts w:ascii="Times New Roman" w:hAnsi="Times New Roman" w:eastAsia="宋体" w:cs="Times New Roman"/>
      <w:szCs w:val="24"/>
    </w:rPr>
  </w:style>
  <w:style w:type="paragraph" w:customStyle="1" w:styleId="580">
    <w:name w:val="Char Char Char Char Char2"/>
    <w:basedOn w:val="1"/>
    <w:next w:val="1"/>
    <w:autoRedefine/>
    <w:semiHidden/>
    <w:qFormat/>
    <w:uiPriority w:val="0"/>
    <w:pPr>
      <w:spacing w:line="336" w:lineRule="auto"/>
      <w:ind w:firstLine="200" w:firstLineChars="200"/>
    </w:pPr>
    <w:rPr>
      <w:rFonts w:ascii="宋体" w:hAnsi="宋体" w:eastAsia="汉鼎简书宋" w:cs="宋体"/>
      <w:sz w:val="24"/>
      <w:szCs w:val="24"/>
    </w:rPr>
  </w:style>
  <w:style w:type="paragraph" w:customStyle="1" w:styleId="581">
    <w:name w:val="Char Char Char Char Char Char Char Char 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582">
    <w:name w:val="Char Char Char Char Char Char3 Char Char Char Char Char Char Char1"/>
    <w:basedOn w:val="1"/>
    <w:next w:val="1"/>
    <w:autoRedefine/>
    <w:qFormat/>
    <w:uiPriority w:val="0"/>
    <w:rPr>
      <w:rFonts w:ascii="Times New Roman" w:hAnsi="Times New Roman" w:eastAsia="宋体" w:cs="Times New Roman"/>
      <w:szCs w:val="24"/>
    </w:rPr>
  </w:style>
  <w:style w:type="paragraph" w:customStyle="1" w:styleId="583">
    <w:name w:val="Char Char Char Char Char Char Char1"/>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584">
    <w:name w:val="样式7"/>
    <w:basedOn w:val="1"/>
    <w:autoRedefine/>
    <w:semiHidden/>
    <w:qFormat/>
    <w:uiPriority w:val="0"/>
    <w:pPr>
      <w:tabs>
        <w:tab w:val="left" w:pos="1021"/>
      </w:tabs>
      <w:spacing w:line="500" w:lineRule="exact"/>
      <w:ind w:firstLine="480" w:firstLineChars="200"/>
    </w:pPr>
    <w:rPr>
      <w:rFonts w:ascii="宋体" w:hAnsi="宋体" w:eastAsia="宋体" w:cs="Times New Roman"/>
      <w:szCs w:val="24"/>
    </w:rPr>
  </w:style>
  <w:style w:type="paragraph" w:customStyle="1" w:styleId="585">
    <w:name w:val="Char Char Char Char3"/>
    <w:basedOn w:val="1"/>
    <w:autoRedefine/>
    <w:qFormat/>
    <w:uiPriority w:val="0"/>
    <w:pPr>
      <w:spacing w:line="360" w:lineRule="auto"/>
      <w:ind w:firstLine="200" w:firstLineChars="200"/>
    </w:pPr>
    <w:rPr>
      <w:rFonts w:ascii="宋体" w:hAnsi="宋体" w:eastAsia="宋体" w:cs="宋体"/>
      <w:sz w:val="24"/>
      <w:szCs w:val="24"/>
    </w:rPr>
  </w:style>
  <w:style w:type="paragraph" w:customStyle="1" w:styleId="586">
    <w:name w:val="封面正文"/>
    <w:autoRedefine/>
    <w:semiHidden/>
    <w:qFormat/>
    <w:uiPriority w:val="0"/>
    <w:pPr>
      <w:jc w:val="both"/>
    </w:pPr>
    <w:rPr>
      <w:rFonts w:ascii="Times New Roman" w:hAnsi="Times New Roman" w:eastAsia="宋体" w:cs="Times New Roman"/>
      <w:lang w:val="en-US" w:eastAsia="zh-CN" w:bidi="ar-SA"/>
    </w:rPr>
  </w:style>
  <w:style w:type="paragraph" w:customStyle="1" w:styleId="587">
    <w:name w:val="Char Char22"/>
    <w:basedOn w:val="1"/>
    <w:autoRedefine/>
    <w:qFormat/>
    <w:uiPriority w:val="0"/>
    <w:pPr>
      <w:spacing w:line="360" w:lineRule="auto"/>
      <w:ind w:firstLine="200" w:firstLineChars="200"/>
    </w:pPr>
    <w:rPr>
      <w:rFonts w:ascii="宋体" w:hAnsi="宋体" w:eastAsia="宋体" w:cs="宋体"/>
      <w:sz w:val="24"/>
      <w:szCs w:val="21"/>
    </w:rPr>
  </w:style>
  <w:style w:type="paragraph" w:customStyle="1" w:styleId="588">
    <w:name w:val="Char Char Char Char11"/>
    <w:basedOn w:val="1"/>
    <w:autoRedefine/>
    <w:qFormat/>
    <w:uiPriority w:val="0"/>
    <w:rPr>
      <w:rFonts w:ascii="Times New Roman" w:hAnsi="Times New Roman" w:eastAsia="宋体" w:cs="Times New Roman"/>
      <w:sz w:val="24"/>
      <w:szCs w:val="24"/>
    </w:rPr>
  </w:style>
  <w:style w:type="paragraph" w:customStyle="1" w:styleId="589">
    <w:name w:val="Char1 Char Char Char1"/>
    <w:basedOn w:val="1"/>
    <w:autoRedefine/>
    <w:qFormat/>
    <w:uiPriority w:val="0"/>
    <w:rPr>
      <w:rFonts w:ascii="Times New Roman" w:hAnsi="Times New Roman" w:eastAsia="宋体" w:cs="Times New Roman"/>
      <w:szCs w:val="24"/>
    </w:rPr>
  </w:style>
  <w:style w:type="paragraph" w:customStyle="1" w:styleId="590">
    <w:name w:val="Char1 Char Char Char Char Char Char Char Char1 Char Char Char Char Char Char Char1"/>
    <w:basedOn w:val="1"/>
    <w:autoRedefine/>
    <w:qFormat/>
    <w:uiPriority w:val="0"/>
    <w:pPr>
      <w:snapToGrid w:val="0"/>
      <w:spacing w:line="360" w:lineRule="auto"/>
      <w:ind w:firstLine="200" w:firstLineChars="200"/>
    </w:pPr>
    <w:rPr>
      <w:rFonts w:ascii="Times New Roman" w:hAnsi="Times New Roman" w:eastAsia="宋体" w:cs="Times New Roman"/>
      <w:szCs w:val="20"/>
    </w:rPr>
  </w:style>
  <w:style w:type="paragraph" w:customStyle="1" w:styleId="591">
    <w:name w:val="无间隔1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92">
    <w:name w:val="正文6"/>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593">
    <w:name w:val="YH表格内文字"/>
    <w:basedOn w:val="1"/>
    <w:autoRedefine/>
    <w:qFormat/>
    <w:uiPriority w:val="0"/>
    <w:pPr>
      <w:snapToGrid w:val="0"/>
      <w:jc w:val="center"/>
    </w:pPr>
    <w:rPr>
      <w:rFonts w:ascii="Times New Roman" w:hAnsi="Times New Roman" w:eastAsia="宋体" w:cs="Times New Roman"/>
      <w:szCs w:val="21"/>
    </w:rPr>
  </w:style>
  <w:style w:type="paragraph" w:customStyle="1" w:styleId="594">
    <w:name w:val="YH正文"/>
    <w:basedOn w:val="1"/>
    <w:link w:val="595"/>
    <w:autoRedefine/>
    <w:qFormat/>
    <w:uiPriority w:val="0"/>
    <w:pPr>
      <w:snapToGrid w:val="0"/>
      <w:spacing w:line="360" w:lineRule="auto"/>
      <w:ind w:firstLine="1044" w:firstLineChars="200"/>
    </w:pPr>
    <w:rPr>
      <w:rFonts w:ascii="Times New Roman" w:hAnsi="Times New Roman" w:eastAsia="宋体" w:cs="Times New Roman"/>
      <w:sz w:val="24"/>
      <w:szCs w:val="24"/>
    </w:rPr>
  </w:style>
  <w:style w:type="character" w:customStyle="1" w:styleId="595">
    <w:name w:val="YH正文 Char"/>
    <w:link w:val="594"/>
    <w:autoRedefine/>
    <w:qFormat/>
    <w:uiPriority w:val="0"/>
    <w:rPr>
      <w:kern w:val="2"/>
      <w:sz w:val="24"/>
      <w:szCs w:val="24"/>
    </w:rPr>
  </w:style>
  <w:style w:type="paragraph" w:customStyle="1" w:styleId="596">
    <w:name w:val="YH图注"/>
    <w:basedOn w:val="1"/>
    <w:link w:val="597"/>
    <w:autoRedefine/>
    <w:qFormat/>
    <w:uiPriority w:val="0"/>
    <w:pPr>
      <w:snapToGrid w:val="0"/>
      <w:spacing w:line="360" w:lineRule="auto"/>
      <w:jc w:val="center"/>
    </w:pPr>
    <w:rPr>
      <w:rFonts w:ascii="Times New Roman" w:hAnsi="Times New Roman" w:eastAsia="宋体" w:cs="Times New Roman"/>
      <w:b/>
      <w:bCs/>
      <w:sz w:val="24"/>
      <w:szCs w:val="24"/>
    </w:rPr>
  </w:style>
  <w:style w:type="character" w:customStyle="1" w:styleId="597">
    <w:name w:val="YH图注 Char"/>
    <w:link w:val="596"/>
    <w:autoRedefine/>
    <w:qFormat/>
    <w:uiPriority w:val="0"/>
    <w:rPr>
      <w:b/>
      <w:bCs/>
      <w:kern w:val="2"/>
      <w:sz w:val="24"/>
      <w:szCs w:val="24"/>
    </w:rPr>
  </w:style>
  <w:style w:type="paragraph" w:customStyle="1" w:styleId="598">
    <w:name w:val="YH表头"/>
    <w:basedOn w:val="1"/>
    <w:autoRedefine/>
    <w:qFormat/>
    <w:uiPriority w:val="0"/>
    <w:pPr>
      <w:snapToGrid w:val="0"/>
      <w:spacing w:after="60"/>
      <w:jc w:val="center"/>
    </w:pPr>
    <w:rPr>
      <w:rFonts w:ascii="Times New Roman" w:hAnsi="Times New Roman" w:eastAsia="宋体" w:cs="Times New Roman"/>
      <w:b/>
      <w:bCs/>
      <w:szCs w:val="24"/>
    </w:rPr>
  </w:style>
  <w:style w:type="paragraph" w:customStyle="1" w:styleId="599">
    <w:name w:val="德正正文"/>
    <w:basedOn w:val="1"/>
    <w:next w:val="1"/>
    <w:autoRedefine/>
    <w:qFormat/>
    <w:uiPriority w:val="0"/>
    <w:pPr>
      <w:adjustRightInd w:val="0"/>
      <w:snapToGrid w:val="0"/>
      <w:spacing w:line="360" w:lineRule="auto"/>
      <w:ind w:firstLine="200" w:firstLineChars="200"/>
    </w:pPr>
    <w:rPr>
      <w:rFonts w:ascii="Times New Roman" w:hAnsi="Times New Roman" w:eastAsia="宋体" w:cs="Times New Roman"/>
      <w:sz w:val="24"/>
      <w:szCs w:val="24"/>
    </w:rPr>
  </w:style>
  <w:style w:type="paragraph" w:customStyle="1" w:styleId="600">
    <w:name w:val="样式 小四 行距: 1.5 倍行距"/>
    <w:basedOn w:val="1"/>
    <w:autoRedefine/>
    <w:qFormat/>
    <w:uiPriority w:val="0"/>
    <w:pPr>
      <w:ind w:firstLine="480" w:firstLineChars="200"/>
    </w:pPr>
    <w:rPr>
      <w:rFonts w:ascii="Times New Roman" w:hAnsi="Times New Roman" w:eastAsia="宋体" w:cs="宋体"/>
      <w:szCs w:val="24"/>
    </w:rPr>
  </w:style>
  <w:style w:type="character" w:customStyle="1" w:styleId="601">
    <w:name w:val="正文（首行缩进2字） Char1"/>
    <w:link w:val="602"/>
    <w:autoRedefine/>
    <w:qFormat/>
    <w:uiPriority w:val="0"/>
    <w:rPr>
      <w:sz w:val="24"/>
      <w:szCs w:val="30"/>
    </w:rPr>
  </w:style>
  <w:style w:type="paragraph" w:customStyle="1" w:styleId="602">
    <w:name w:val="正文（首行缩进2字）"/>
    <w:basedOn w:val="1"/>
    <w:link w:val="601"/>
    <w:autoRedefine/>
    <w:qFormat/>
    <w:uiPriority w:val="0"/>
    <w:pPr>
      <w:spacing w:line="440" w:lineRule="exact"/>
      <w:ind w:firstLine="480" w:firstLineChars="200"/>
    </w:pPr>
    <w:rPr>
      <w:rFonts w:ascii="Times New Roman" w:hAnsi="Times New Roman" w:eastAsia="宋体" w:cs="Times New Roman"/>
      <w:kern w:val="0"/>
      <w:sz w:val="24"/>
      <w:szCs w:val="30"/>
    </w:rPr>
  </w:style>
  <w:style w:type="paragraph" w:customStyle="1" w:styleId="603">
    <w:name w:val="TOC 标题1"/>
    <w:basedOn w:val="2"/>
    <w:next w:val="1"/>
    <w:autoRedefine/>
    <w:unhideWhenUsed/>
    <w:qFormat/>
    <w:uiPriority w:val="39"/>
    <w:pPr>
      <w:widowControl/>
      <w:spacing w:before="24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604">
    <w:name w:val="未处理的提及1"/>
    <w:basedOn w:val="60"/>
    <w:autoRedefine/>
    <w:semiHidden/>
    <w:unhideWhenUsed/>
    <w:qFormat/>
    <w:uiPriority w:val="99"/>
    <w:rPr>
      <w:color w:val="605E5C"/>
      <w:shd w:val="clear" w:color="auto" w:fill="E1DFDD"/>
    </w:rPr>
  </w:style>
  <w:style w:type="paragraph" w:customStyle="1" w:styleId="605">
    <w:name w:val="表格自动编号"/>
    <w:basedOn w:val="1"/>
    <w:autoRedefine/>
    <w:qFormat/>
    <w:uiPriority w:val="0"/>
    <w:pPr>
      <w:tabs>
        <w:tab w:val="left" w:pos="0"/>
        <w:tab w:val="left" w:pos="360"/>
      </w:tabs>
      <w:jc w:val="center"/>
    </w:pPr>
    <w:rPr>
      <w:rFonts w:ascii="Times New Roman" w:hAnsi="Times New Roman" w:eastAsia="宋体" w:cs="Times New Roman"/>
      <w:b/>
      <w:sz w:val="24"/>
      <w:szCs w:val="24"/>
    </w:rPr>
  </w:style>
  <w:style w:type="paragraph" w:customStyle="1" w:styleId="606">
    <w:name w:val="德正表格"/>
    <w:basedOn w:val="1"/>
    <w:autoRedefine/>
    <w:qFormat/>
    <w:uiPriority w:val="0"/>
    <w:pPr>
      <w:adjustRightInd w:val="0"/>
      <w:snapToGrid w:val="0"/>
      <w:jc w:val="center"/>
    </w:pPr>
    <w:rPr>
      <w:rFonts w:ascii="Times New Roman" w:hAnsi="Times New Roman" w:eastAsia="宋体" w:cs="Times New Roman"/>
      <w:szCs w:val="24"/>
    </w:rPr>
  </w:style>
  <w:style w:type="paragraph" w:customStyle="1" w:styleId="607">
    <w:name w:val="表头zhou"/>
    <w:basedOn w:val="1"/>
    <w:autoRedefine/>
    <w:qFormat/>
    <w:uiPriority w:val="0"/>
    <w:pPr>
      <w:numPr>
        <w:ilvl w:val="5"/>
        <w:numId w:val="1"/>
      </w:numPr>
      <w:tabs>
        <w:tab w:val="left" w:leader="underscore" w:pos="0"/>
        <w:tab w:val="left" w:leader="dot" w:pos="420"/>
      </w:tabs>
      <w:jc w:val="center"/>
    </w:pPr>
    <w:rPr>
      <w:rFonts w:ascii="Times New Roman" w:hAnsi="Times New Roman" w:eastAsia="宋体" w:cs="等线"/>
      <w:b/>
      <w:szCs w:val="21"/>
    </w:rPr>
  </w:style>
  <w:style w:type="paragraph" w:customStyle="1" w:styleId="608">
    <w:name w:val="表格自动编号-德正"/>
    <w:basedOn w:val="1"/>
    <w:autoRedefine/>
    <w:qFormat/>
    <w:uiPriority w:val="0"/>
    <w:pPr>
      <w:numPr>
        <w:ilvl w:val="5"/>
        <w:numId w:val="1"/>
      </w:numPr>
      <w:tabs>
        <w:tab w:val="left" w:pos="0"/>
      </w:tabs>
      <w:jc w:val="center"/>
    </w:pPr>
    <w:rPr>
      <w:rFonts w:ascii="Times New Roman" w:hAnsi="Times New Roman" w:eastAsia="宋体" w:cs="Times New Roman"/>
      <w:b/>
      <w:szCs w:val="21"/>
    </w:rPr>
  </w:style>
  <w:style w:type="paragraph" w:customStyle="1" w:styleId="609">
    <w:name w:val="表格内容-德正"/>
    <w:autoRedefine/>
    <w:qFormat/>
    <w:uiPriority w:val="99"/>
    <w:pPr>
      <w:autoSpaceDE w:val="0"/>
      <w:autoSpaceDN w:val="0"/>
      <w:adjustRightInd w:val="0"/>
      <w:jc w:val="center"/>
    </w:pPr>
    <w:rPr>
      <w:rFonts w:ascii="Times New Roman" w:hAnsi="Times New Roman" w:eastAsia="宋体" w:cs="Times New Roman"/>
      <w:color w:val="000000"/>
      <w:sz w:val="21"/>
      <w:szCs w:val="21"/>
      <w:lang w:val="en-US" w:eastAsia="zh-CN" w:bidi="ar-SA"/>
    </w:rPr>
  </w:style>
  <w:style w:type="paragraph" w:customStyle="1" w:styleId="610">
    <w:name w:val="报告"/>
    <w:basedOn w:val="1"/>
    <w:autoRedefine/>
    <w:qFormat/>
    <w:uiPriority w:val="0"/>
    <w:pPr>
      <w:adjustRightInd w:val="0"/>
      <w:spacing w:line="360" w:lineRule="auto"/>
      <w:ind w:firstLine="505"/>
      <w:textAlignment w:val="center"/>
    </w:pPr>
    <w:rPr>
      <w:rFonts w:ascii="TimesNewRoman" w:hAnsi="TimesNewRoman" w:eastAsia="宋体" w:cs="Times New Roman"/>
      <w:kern w:val="0"/>
      <w:sz w:val="24"/>
      <w:szCs w:val="20"/>
    </w:rPr>
  </w:style>
  <w:style w:type="paragraph" w:customStyle="1" w:styleId="611">
    <w:name w:val="正文000"/>
    <w:basedOn w:val="1"/>
    <w:autoRedefine/>
    <w:qFormat/>
    <w:uiPriority w:val="0"/>
    <w:pPr>
      <w:adjustRightInd w:val="0"/>
      <w:spacing w:line="360" w:lineRule="auto"/>
      <w:ind w:firstLine="480" w:firstLineChars="200"/>
      <w:textAlignment w:val="center"/>
    </w:pPr>
    <w:rPr>
      <w:rFonts w:ascii="Times New Roman" w:hAnsi="Times New Roman" w:eastAsia="宋体" w:cs="Times New Roman"/>
      <w:kern w:val="0"/>
      <w:sz w:val="24"/>
      <w:szCs w:val="20"/>
    </w:rPr>
  </w:style>
  <w:style w:type="paragraph" w:customStyle="1" w:styleId="612">
    <w:name w:val="Body text|2"/>
    <w:basedOn w:val="1"/>
    <w:autoRedefine/>
    <w:qFormat/>
    <w:uiPriority w:val="0"/>
    <w:pPr>
      <w:spacing w:line="427" w:lineRule="auto"/>
      <w:ind w:left="1820"/>
    </w:pPr>
  </w:style>
  <w:style w:type="paragraph" w:customStyle="1" w:styleId="613">
    <w:name w:val="D表内"/>
    <w:basedOn w:val="1"/>
    <w:next w:val="614"/>
    <w:autoRedefine/>
    <w:qFormat/>
    <w:uiPriority w:val="0"/>
    <w:pPr>
      <w:ind w:left="-30" w:leftChars="-30" w:right="-30" w:rightChars="-30"/>
      <w:jc w:val="center"/>
    </w:pPr>
    <w:rPr>
      <w:spacing w:val="4"/>
      <w:kern w:val="18"/>
      <w:szCs w:val="24"/>
    </w:rPr>
  </w:style>
  <w:style w:type="paragraph" w:customStyle="1" w:styleId="614">
    <w:name w:val="A 正文"/>
    <w:basedOn w:val="1"/>
    <w:next w:val="1"/>
    <w:autoRedefine/>
    <w:qFormat/>
    <w:uiPriority w:val="0"/>
    <w:pPr>
      <w:spacing w:line="360" w:lineRule="auto"/>
      <w:ind w:firstLine="200" w:firstLineChars="200"/>
    </w:pPr>
    <w:rPr>
      <w:sz w:val="24"/>
    </w:rPr>
  </w:style>
  <w:style w:type="table" w:customStyle="1" w:styleId="615">
    <w:name w:val="网格型100"/>
    <w:basedOn w:val="57"/>
    <w:autoRedefine/>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16">
    <w:name w:val="表内文字-DZ"/>
    <w:basedOn w:val="1"/>
    <w:autoRedefine/>
    <w:qFormat/>
    <w:uiPriority w:val="0"/>
    <w:pPr>
      <w:jc w:val="center"/>
    </w:pPr>
  </w:style>
  <w:style w:type="paragraph" w:customStyle="1" w:styleId="617">
    <w:name w:val="正文样式"/>
    <w:basedOn w:val="1"/>
    <w:autoRedefine/>
    <w:qFormat/>
    <w:uiPriority w:val="0"/>
    <w:pPr>
      <w:spacing w:before="100" w:beforeAutospacing="1" w:after="100" w:afterAutospacing="1" w:line="360" w:lineRule="auto"/>
      <w:ind w:right="170" w:firstLine="480" w:firstLineChars="200"/>
    </w:pPr>
    <w:rPr>
      <w:rFonts w:ascii="Times New Roman" w:hAnsi="宋体" w:eastAsia="宋体" w:cs="Times New Roman"/>
      <w:sz w:val="24"/>
      <w:szCs w:val="24"/>
    </w:rPr>
  </w:style>
  <w:style w:type="paragraph" w:customStyle="1" w:styleId="618">
    <w:name w:val="正文文本5"/>
    <w:basedOn w:val="1"/>
    <w:autoRedefine/>
    <w:qFormat/>
    <w:uiPriority w:val="0"/>
    <w:pPr>
      <w:shd w:val="clear" w:color="auto" w:fill="FFFFFF"/>
      <w:spacing w:before="100" w:beforeAutospacing="1" w:after="960" w:line="0" w:lineRule="atLeast"/>
      <w:jc w:val="center"/>
    </w:pPr>
    <w:rPr>
      <w:rFonts w:ascii="MingLiU" w:hAnsi="MingLiU" w:eastAsia="MingLiU" w:cs="Times New Roman"/>
      <w:kern w:val="0"/>
      <w:sz w:val="19"/>
      <w:szCs w:val="19"/>
    </w:rPr>
  </w:style>
  <w:style w:type="paragraph" w:customStyle="1" w:styleId="619">
    <w:name w:val="表格名称"/>
    <w:basedOn w:val="1"/>
    <w:autoRedefine/>
    <w:qFormat/>
    <w:uiPriority w:val="0"/>
    <w:pPr>
      <w:spacing w:line="360" w:lineRule="auto"/>
      <w:ind w:firstLine="200" w:firstLineChars="200"/>
      <w:jc w:val="left"/>
    </w:pPr>
    <w:rPr>
      <w:rFonts w:ascii="Times New Roman" w:hAnsi="Times New Roman" w:eastAsia="黑体" w:cs="Times New Roman"/>
      <w:b/>
      <w:kern w:val="18"/>
      <w:sz w:val="24"/>
      <w:szCs w:val="24"/>
    </w:rPr>
  </w:style>
  <w:style w:type="paragraph" w:customStyle="1" w:styleId="620">
    <w:name w:val="05F凡式正文"/>
    <w:basedOn w:val="1"/>
    <w:autoRedefine/>
    <w:qFormat/>
    <w:uiPriority w:val="0"/>
    <w:pPr>
      <w:spacing w:line="360" w:lineRule="auto"/>
      <w:ind w:firstLine="720" w:firstLineChars="200"/>
    </w:pPr>
    <w:rPr>
      <w:rFonts w:ascii="Times New Roman" w:hAnsi="Times New Roman" w:eastAsia="宋体" w:cs="Times New Roman"/>
      <w:kern w:val="0"/>
      <w:sz w:val="24"/>
      <w:szCs w:val="24"/>
    </w:rPr>
  </w:style>
  <w:style w:type="table" w:customStyle="1" w:styleId="621">
    <w:name w:val="表格标准格式"/>
    <w:basedOn w:val="57"/>
    <w:autoRedefine/>
    <w:qFormat/>
    <w:uiPriority w:val="99"/>
    <w:pPr>
      <w:jc w:val="center"/>
    </w:pPr>
    <w:tblPr>
      <w:tblBorders>
        <w:top w:val="single" w:color="auto" w:sz="12" w:space="0"/>
        <w:bottom w:val="single" w:color="auto" w:sz="12" w:space="0"/>
        <w:insideH w:val="single" w:color="auto" w:sz="6" w:space="0"/>
        <w:insideV w:val="single" w:color="auto" w:sz="6" w:space="0"/>
      </w:tblBorders>
    </w:tblPr>
    <w:tcPr>
      <w:vAlign w:val="center"/>
    </w:tcPr>
  </w:style>
  <w:style w:type="paragraph" w:customStyle="1" w:styleId="622">
    <w:name w:val="表体"/>
    <w:basedOn w:val="1"/>
    <w:autoRedefine/>
    <w:qFormat/>
    <w:uiPriority w:val="0"/>
    <w:pPr>
      <w:autoSpaceDE w:val="0"/>
      <w:autoSpaceDN w:val="0"/>
      <w:spacing w:before="40" w:after="40"/>
      <w:jc w:val="center"/>
    </w:pPr>
    <w:rPr>
      <w:rFonts w:ascii="宋体" w:hAnsi="宋体" w:eastAsia="宋体" w:cs="宋体"/>
      <w:kern w:val="0"/>
      <w:sz w:val="22"/>
      <w:szCs w:val="21"/>
      <w:lang w:val="zh-CN" w:bidi="zh-CN"/>
    </w:rPr>
  </w:style>
  <w:style w:type="paragraph" w:customStyle="1" w:styleId="623">
    <w:name w:val="D表"/>
    <w:basedOn w:val="613"/>
    <w:autoRedefine/>
    <w:qFormat/>
    <w:uiPriority w:val="0"/>
    <w:pPr>
      <w:ind w:left="0" w:leftChars="0" w:right="0" w:rightChars="0"/>
    </w:pPr>
    <w:rPr>
      <w:rFonts w:ascii="Times New Roman" w:hAnsi="Times New Roman" w:eastAsia="Times New Roman" w:cs="Times New Roman"/>
      <w:b/>
      <w:spacing w:val="0"/>
      <w:kern w:val="2"/>
      <w:szCs w:val="21"/>
    </w:rPr>
  </w:style>
  <w:style w:type="paragraph" w:customStyle="1" w:styleId="624">
    <w:name w:val="D正文"/>
    <w:basedOn w:val="625"/>
    <w:autoRedefine/>
    <w:qFormat/>
    <w:uiPriority w:val="0"/>
    <w:pPr>
      <w:tabs>
        <w:tab w:val="left" w:pos="0"/>
      </w:tabs>
      <w:spacing w:line="360" w:lineRule="auto"/>
      <w:ind w:firstLine="200" w:firstLineChars="200"/>
    </w:pPr>
    <w:rPr>
      <w:rFonts w:ascii="Times New Roman" w:hAnsi="Times New Roman" w:eastAsia="宋体" w:cs="Times New Roman"/>
      <w:sz w:val="24"/>
      <w:szCs w:val="24"/>
    </w:rPr>
  </w:style>
  <w:style w:type="paragraph" w:customStyle="1" w:styleId="625">
    <w:name w:val="正文对的"/>
    <w:basedOn w:val="31"/>
    <w:autoRedefine/>
    <w:qFormat/>
    <w:uiPriority w:val="0"/>
    <w:pPr>
      <w:tabs>
        <w:tab w:val="left" w:pos="0"/>
      </w:tabs>
      <w:spacing w:line="400" w:lineRule="exact"/>
      <w:ind w:firstLine="200" w:firstLineChars="200"/>
    </w:pPr>
    <w:rPr>
      <w:rFonts w:hAnsi="宋体" w:eastAsia="Times New Roman"/>
      <w:kern w:val="0"/>
      <w:sz w:val="24"/>
    </w:rPr>
  </w:style>
  <w:style w:type="paragraph" w:customStyle="1" w:styleId="626">
    <w:name w:val="正文7"/>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627">
    <w:name w:val="font51"/>
    <w:basedOn w:val="60"/>
    <w:autoRedefine/>
    <w:qFormat/>
    <w:uiPriority w:val="0"/>
    <w:rPr>
      <w:rFonts w:hint="default" w:ascii="Times New Roman" w:hAnsi="Times New Roman" w:cs="Times New Roman"/>
      <w:b/>
      <w:bCs/>
      <w:color w:val="000000"/>
      <w:sz w:val="18"/>
      <w:szCs w:val="18"/>
      <w:u w:val="none"/>
      <w:vertAlign w:val="superscript"/>
    </w:rPr>
  </w:style>
  <w:style w:type="character" w:customStyle="1" w:styleId="628">
    <w:name w:val="font41"/>
    <w:basedOn w:val="60"/>
    <w:autoRedefine/>
    <w:qFormat/>
    <w:uiPriority w:val="0"/>
    <w:rPr>
      <w:rFonts w:hint="eastAsia" w:ascii="宋体" w:hAnsi="宋体" w:eastAsia="宋体" w:cs="宋体"/>
      <w:color w:val="000000"/>
      <w:sz w:val="18"/>
      <w:szCs w:val="18"/>
      <w:u w:val="none"/>
    </w:rPr>
  </w:style>
  <w:style w:type="character" w:customStyle="1" w:styleId="629">
    <w:name w:val="font31"/>
    <w:basedOn w:val="60"/>
    <w:autoRedefine/>
    <w:qFormat/>
    <w:uiPriority w:val="0"/>
    <w:rPr>
      <w:rFonts w:hint="default" w:ascii="Times New Roman" w:hAnsi="Times New Roman" w:cs="Times New Roman"/>
      <w:color w:val="000000"/>
      <w:sz w:val="18"/>
      <w:szCs w:val="18"/>
      <w:u w:val="none"/>
    </w:rPr>
  </w:style>
  <w:style w:type="character" w:customStyle="1" w:styleId="630">
    <w:name w:val="font61"/>
    <w:basedOn w:val="60"/>
    <w:autoRedefine/>
    <w:qFormat/>
    <w:uiPriority w:val="0"/>
    <w:rPr>
      <w:rFonts w:hint="default" w:ascii="Times New Roman" w:hAnsi="Times New Roman" w:cs="Times New Roman"/>
      <w:color w:val="000000"/>
      <w:sz w:val="18"/>
      <w:szCs w:val="18"/>
      <w:u w:val="none"/>
      <w:vertAlign w:val="subscript"/>
    </w:rPr>
  </w:style>
  <w:style w:type="paragraph" w:customStyle="1" w:styleId="631">
    <w:name w:val="aa正文"/>
    <w:basedOn w:val="1"/>
    <w:autoRedefine/>
    <w:qFormat/>
    <w:uiPriority w:val="0"/>
    <w:pPr>
      <w:spacing w:line="360" w:lineRule="auto"/>
      <w:ind w:firstLine="200" w:firstLineChars="200"/>
    </w:pPr>
    <w:rPr>
      <w:sz w:val="24"/>
    </w:rPr>
  </w:style>
  <w:style w:type="paragraph" w:customStyle="1" w:styleId="632">
    <w:name w:val="Normal_14_0"/>
    <w:autoRedefine/>
    <w:unhideWhenUsed/>
    <w:qFormat/>
    <w:uiPriority w:val="0"/>
    <w:pPr>
      <w:spacing w:before="120" w:after="240"/>
      <w:jc w:val="both"/>
    </w:pPr>
    <w:rPr>
      <w:rFonts w:ascii="Calibri" w:hAnsi="Calibri" w:eastAsia="Calibri" w:cs="Times New Roman"/>
      <w:sz w:val="22"/>
      <w:szCs w:val="22"/>
      <w:lang w:val="en-US" w:eastAsia="en-US" w:bidi="ar-SA"/>
    </w:rPr>
  </w:style>
  <w:style w:type="paragraph" w:customStyle="1" w:styleId="633">
    <w:name w:val="表中字体格式"/>
    <w:basedOn w:val="1"/>
    <w:autoRedefine/>
    <w:qFormat/>
    <w:uiPriority w:val="0"/>
    <w:pPr>
      <w:spacing w:line="240" w:lineRule="atLeast"/>
      <w:jc w:val="center"/>
    </w:pPr>
    <w:rPr>
      <w:color w:val="000000"/>
    </w:rPr>
  </w:style>
  <w:style w:type="paragraph" w:customStyle="1" w:styleId="634">
    <w:name w:val="样式 文本正文 + 首行缩进:  2 字符3"/>
    <w:basedOn w:val="1"/>
    <w:autoRedefine/>
    <w:qFormat/>
    <w:uiPriority w:val="0"/>
    <w:pPr>
      <w:autoSpaceDE w:val="0"/>
      <w:autoSpaceDN w:val="0"/>
      <w:adjustRightInd w:val="0"/>
      <w:spacing w:line="360" w:lineRule="auto"/>
      <w:ind w:firstLine="496" w:firstLineChars="200"/>
      <w:textAlignment w:val="baseline"/>
    </w:pPr>
    <w:rPr>
      <w:rFonts w:ascii="宋体" w:hAnsi="宋体" w:cs="宋体"/>
      <w:snapToGrid w:val="0"/>
      <w:color w:val="000000"/>
      <w:kern w:val="21"/>
      <w:sz w:val="24"/>
    </w:rPr>
  </w:style>
  <w:style w:type="paragraph" w:customStyle="1" w:styleId="635">
    <w:name w:val="表格内容居中"/>
    <w:autoRedefine/>
    <w:qFormat/>
    <w:uiPriority w:val="0"/>
    <w:pPr>
      <w:adjustRightInd w:val="0"/>
      <w:snapToGrid w:val="0"/>
      <w:jc w:val="center"/>
    </w:pPr>
    <w:rPr>
      <w:rFonts w:ascii="Calibri" w:hAnsi="Calibri" w:eastAsia="宋体" w:cs="Times New Roman"/>
      <w:snapToGrid w:val="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5FC9C9-4CA5-4E46-B4B6-BDD136916CC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73</Pages>
  <Words>39312</Words>
  <Characters>45746</Characters>
  <Lines>266</Lines>
  <Paragraphs>74</Paragraphs>
  <TotalTime>3</TotalTime>
  <ScaleCrop>false</ScaleCrop>
  <LinksUpToDate>false</LinksUpToDate>
  <CharactersWithSpaces>45915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2022-09-29T03:21:00Z</dcterms:created>
  <dc:creator>胡鹏</dc:creator>
  <cp:lastModifiedBy>邹@</cp:lastModifiedBy>
  <dcterms:modified xsi:type="dcterms:W3CDTF">2024-03-28T08:04:15Z</dcterms:modified>
  <cp:revision>212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5DE12B8F8FA54A529DECC258A36CA01E_13</vt:lpwstr>
  </property>
</Properties>
</file>