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30" w:type="dxa"/>
        <w:tblInd w:w="2" w:type="dxa"/>
        <w:tblLayout w:type="fixed"/>
        <w:tblCellMar>
          <w:top w:w="0" w:type="dxa"/>
          <w:left w:w="0" w:type="dxa"/>
          <w:bottom w:w="0" w:type="dxa"/>
          <w:right w:w="0" w:type="dxa"/>
        </w:tblCellMar>
      </w:tblPr>
      <w:tblGrid>
        <w:gridCol w:w="1470"/>
        <w:gridCol w:w="900"/>
        <w:gridCol w:w="1320"/>
        <w:gridCol w:w="975"/>
        <w:gridCol w:w="690"/>
        <w:gridCol w:w="1170"/>
        <w:gridCol w:w="825"/>
        <w:gridCol w:w="1680"/>
      </w:tblGrid>
      <w:tr>
        <w:tblPrEx>
          <w:tblCellMar>
            <w:top w:w="0" w:type="dxa"/>
            <w:left w:w="0" w:type="dxa"/>
            <w:bottom w:w="0" w:type="dxa"/>
            <w:right w:w="0" w:type="dxa"/>
          </w:tblCellMar>
        </w:tblPrEx>
        <w:trPr>
          <w:trHeight w:val="840" w:hRule="atLeast"/>
        </w:trPr>
        <w:tc>
          <w:tcPr>
            <w:tcW w:w="1470" w:type="dxa"/>
            <w:tcBorders>
              <w:top w:val="nil"/>
              <w:left w:val="nil"/>
              <w:bottom w:val="nil"/>
              <w:right w:val="nil"/>
            </w:tcBorders>
            <w:noWrap/>
            <w:tcMar>
              <w:top w:w="15" w:type="dxa"/>
              <w:left w:w="15" w:type="dxa"/>
              <w:right w:w="15" w:type="dxa"/>
            </w:tcMar>
            <w:vAlign w:val="center"/>
          </w:tcPr>
          <w:p>
            <w:pPr>
              <w:widowControl/>
              <w:jc w:val="left"/>
              <w:textAlignment w:val="center"/>
              <w:rPr>
                <w:rFonts w:ascii="仿宋_GB2312" w:hAnsi="宋体"/>
                <w:b/>
                <w:bCs/>
                <w:color w:val="000000"/>
                <w:sz w:val="24"/>
                <w:szCs w:val="24"/>
              </w:rPr>
            </w:pPr>
            <w:r>
              <w:rPr>
                <w:rFonts w:hint="eastAsia" w:ascii="黑体" w:hAnsi="黑体" w:eastAsia="黑体" w:cs="黑体"/>
              </w:rPr>
              <w:t>附件</w:t>
            </w:r>
            <w:r>
              <w:rPr>
                <w:rFonts w:ascii="黑体" w:hAnsi="黑体" w:eastAsia="黑体" w:cs="黑体"/>
              </w:rPr>
              <w:t>3</w:t>
            </w:r>
          </w:p>
        </w:tc>
        <w:tc>
          <w:tcPr>
            <w:tcW w:w="90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32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975"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69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17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825"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68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kern w:val="0"/>
                <w:sz w:val="44"/>
                <w:szCs w:val="44"/>
              </w:rPr>
              <w:t>项目支出绩效评价报告</w:t>
            </w: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项目名称：</w:t>
            </w:r>
          </w:p>
        </w:tc>
        <w:tc>
          <w:tcPr>
            <w:tcW w:w="7560" w:type="dxa"/>
            <w:gridSpan w:val="7"/>
            <w:tcBorders>
              <w:top w:val="nil"/>
              <w:left w:val="nil"/>
              <w:bottom w:val="single" w:color="000000" w:sz="4" w:space="0"/>
              <w:right w:val="nil"/>
            </w:tcBorders>
            <w:noWrap/>
            <w:tcMar>
              <w:top w:w="15" w:type="dxa"/>
              <w:left w:w="15" w:type="dxa"/>
              <w:right w:w="15" w:type="dxa"/>
            </w:tcMar>
            <w:vAlign w:val="bottom"/>
          </w:tcPr>
          <w:p>
            <w:pPr>
              <w:spacing w:line="600" w:lineRule="exact"/>
              <w:jc w:val="center"/>
              <w:rPr>
                <w:color w:val="000000"/>
                <w:sz w:val="28"/>
                <w:szCs w:val="28"/>
              </w:rPr>
            </w:pPr>
            <w:r>
              <w:rPr>
                <w:rFonts w:hint="eastAsia" w:ascii="仿宋" w:hAnsi="仿宋" w:eastAsia="仿宋" w:cs="仿宋_GB2312"/>
                <w:kern w:val="0"/>
                <w:sz w:val="30"/>
                <w:szCs w:val="30"/>
                <w:lang w:val="en-US" w:eastAsia="zh-CN"/>
              </w:rPr>
              <w:t>城乡住户调查和粮食产量抽样调查</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项目类别：</w:t>
            </w:r>
          </w:p>
        </w:tc>
        <w:tc>
          <w:tcPr>
            <w:tcW w:w="7560" w:type="dxa"/>
            <w:gridSpan w:val="7"/>
            <w:tcBorders>
              <w:top w:val="nil"/>
              <w:left w:val="nil"/>
              <w:bottom w:val="single" w:color="000000" w:sz="4" w:space="0"/>
              <w:right w:val="nil"/>
            </w:tcBorders>
            <w:noWrap/>
            <w:tcMar>
              <w:top w:w="15" w:type="dxa"/>
              <w:left w:w="15" w:type="dxa"/>
              <w:right w:w="15" w:type="dxa"/>
            </w:tcMar>
            <w:vAlign w:val="center"/>
          </w:tcPr>
          <w:p>
            <w:pPr>
              <w:widowControl/>
              <w:spacing w:line="600" w:lineRule="exact"/>
              <w:jc w:val="left"/>
              <w:textAlignment w:val="center"/>
              <w:rPr>
                <w:color w:val="000000"/>
                <w:sz w:val="28"/>
                <w:szCs w:val="28"/>
              </w:rPr>
            </w:pPr>
            <w:r>
              <w:rPr>
                <w:color w:val="000000"/>
                <w:kern w:val="0"/>
                <w:sz w:val="28"/>
                <w:szCs w:val="28"/>
              </w:rPr>
              <w:t>□</w:t>
            </w:r>
            <w:r>
              <w:rPr>
                <w:rFonts w:hint="eastAsia" w:cs="仿宋_GB2312"/>
                <w:color w:val="000000"/>
                <w:kern w:val="0"/>
                <w:sz w:val="28"/>
                <w:szCs w:val="28"/>
              </w:rPr>
              <w:t>经建类</w:t>
            </w:r>
            <w:r>
              <w:rPr>
                <w:color w:val="000000"/>
                <w:kern w:val="0"/>
                <w:sz w:val="28"/>
                <w:szCs w:val="28"/>
              </w:rPr>
              <w:t xml:space="preserve">       □</w:t>
            </w:r>
            <w:r>
              <w:rPr>
                <w:rFonts w:hint="eastAsia" w:cs="仿宋_GB2312"/>
                <w:color w:val="000000"/>
                <w:kern w:val="0"/>
                <w:sz w:val="28"/>
                <w:szCs w:val="28"/>
              </w:rPr>
              <w:t>社会事业类</w:t>
            </w:r>
            <w:r>
              <w:rPr>
                <w:color w:val="000000"/>
                <w:kern w:val="0"/>
                <w:sz w:val="28"/>
                <w:szCs w:val="28"/>
              </w:rPr>
              <w:t xml:space="preserve">       </w:t>
            </w:r>
            <w:r>
              <w:rPr>
                <w:rFonts w:hint="eastAsia"/>
                <w:color w:val="000000"/>
                <w:kern w:val="0"/>
                <w:sz w:val="28"/>
                <w:szCs w:val="28"/>
                <w:lang w:eastAsia="zh-CN"/>
              </w:rPr>
              <w:t>☑</w:t>
            </w:r>
            <w:r>
              <w:rPr>
                <w:rFonts w:hint="eastAsia" w:cs="仿宋_GB2312"/>
                <w:color w:val="000000"/>
                <w:kern w:val="0"/>
                <w:sz w:val="28"/>
                <w:szCs w:val="28"/>
              </w:rPr>
              <w:t>其他类</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righ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项目单位：</w:t>
            </w:r>
          </w:p>
        </w:tc>
        <w:tc>
          <w:tcPr>
            <w:tcW w:w="5880" w:type="dxa"/>
            <w:gridSpan w:val="6"/>
            <w:tcBorders>
              <w:top w:val="nil"/>
              <w:left w:val="nil"/>
              <w:bottom w:val="single" w:color="000000" w:sz="4" w:space="0"/>
              <w:right w:val="nil"/>
            </w:tcBorders>
            <w:noWrap/>
            <w:tcMar>
              <w:top w:w="15" w:type="dxa"/>
              <w:left w:w="15" w:type="dxa"/>
              <w:right w:w="15" w:type="dxa"/>
            </w:tcMar>
            <w:vAlign w:val="bottom"/>
          </w:tcPr>
          <w:p>
            <w:pPr>
              <w:spacing w:line="600" w:lineRule="exact"/>
              <w:jc w:val="center"/>
              <w:rPr>
                <w:rFonts w:hint="default" w:eastAsia="仿宋_GB2312"/>
                <w:color w:val="000000"/>
                <w:sz w:val="28"/>
                <w:szCs w:val="28"/>
                <w:lang w:val="en-US" w:eastAsia="zh-CN"/>
              </w:rPr>
            </w:pPr>
            <w:r>
              <w:rPr>
                <w:rFonts w:hint="eastAsia"/>
                <w:color w:val="000000"/>
                <w:sz w:val="28"/>
                <w:szCs w:val="28"/>
                <w:lang w:val="en-US" w:eastAsia="zh-CN"/>
              </w:rPr>
              <w:t>奉新县统计局</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right"/>
              <w:textAlignment w:val="bottom"/>
              <w:rPr>
                <w:color w:val="000000"/>
                <w:sz w:val="28"/>
                <w:szCs w:val="28"/>
              </w:rPr>
            </w:pPr>
            <w:r>
              <w:rPr>
                <w:color w:val="000000"/>
                <w:kern w:val="0"/>
                <w:sz w:val="28"/>
                <w:szCs w:val="28"/>
              </w:rPr>
              <w:t>(</w:t>
            </w:r>
            <w:r>
              <w:rPr>
                <w:rFonts w:hint="eastAsia" w:cs="仿宋_GB2312"/>
                <w:color w:val="000000"/>
                <w:kern w:val="0"/>
                <w:sz w:val="28"/>
                <w:szCs w:val="28"/>
              </w:rPr>
              <w:t>盖章</w:t>
            </w:r>
            <w:r>
              <w:rPr>
                <w:color w:val="000000"/>
                <w:kern w:val="0"/>
                <w:sz w:val="28"/>
                <w:szCs w:val="28"/>
              </w:rPr>
              <w:t>)</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noWrap/>
            <w:tcMar>
              <w:top w:w="15" w:type="dxa"/>
              <w:left w:w="15" w:type="dxa"/>
              <w:right w:w="15" w:type="dxa"/>
            </w:tcMar>
            <w:vAlign w:val="bottom"/>
          </w:tcPr>
          <w:p>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right"/>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评价机构：</w:t>
            </w:r>
          </w:p>
        </w:tc>
        <w:tc>
          <w:tcPr>
            <w:tcW w:w="7560" w:type="dxa"/>
            <w:gridSpan w:val="7"/>
            <w:tcBorders>
              <w:top w:val="nil"/>
              <w:left w:val="nil"/>
              <w:bottom w:val="single" w:color="000000" w:sz="4" w:space="0"/>
              <w:right w:val="nil"/>
            </w:tcBorders>
            <w:noWrap/>
            <w:tcMar>
              <w:top w:w="15" w:type="dxa"/>
              <w:left w:w="15" w:type="dxa"/>
              <w:right w:w="15" w:type="dxa"/>
            </w:tcMar>
            <w:vAlign w:val="center"/>
          </w:tcPr>
          <w:p>
            <w:pPr>
              <w:widowControl/>
              <w:spacing w:line="600" w:lineRule="exact"/>
              <w:jc w:val="left"/>
              <w:textAlignment w:val="center"/>
              <w:rPr>
                <w:color w:val="000000"/>
                <w:sz w:val="28"/>
                <w:szCs w:val="28"/>
              </w:rPr>
            </w:pPr>
            <w:r>
              <w:rPr>
                <w:color w:val="000000"/>
                <w:kern w:val="0"/>
                <w:sz w:val="28"/>
                <w:szCs w:val="28"/>
              </w:rPr>
              <w:t>□</w:t>
            </w:r>
            <w:r>
              <w:rPr>
                <w:rFonts w:hint="eastAsia" w:cs="仿宋_GB2312"/>
                <w:color w:val="000000"/>
                <w:kern w:val="0"/>
                <w:sz w:val="28"/>
                <w:szCs w:val="28"/>
              </w:rPr>
              <w:t>中介机构</w:t>
            </w:r>
            <w:r>
              <w:rPr>
                <w:color w:val="000000"/>
                <w:kern w:val="0"/>
                <w:sz w:val="28"/>
                <w:szCs w:val="28"/>
              </w:rPr>
              <w:t xml:space="preserve">       □</w:t>
            </w:r>
            <w:r>
              <w:rPr>
                <w:rFonts w:hint="eastAsia" w:cs="仿宋_GB2312"/>
                <w:color w:val="000000"/>
                <w:kern w:val="0"/>
                <w:sz w:val="28"/>
                <w:szCs w:val="28"/>
              </w:rPr>
              <w:t>专家组</w:t>
            </w:r>
            <w:r>
              <w:rPr>
                <w:color w:val="000000"/>
                <w:kern w:val="0"/>
                <w:sz w:val="28"/>
                <w:szCs w:val="28"/>
              </w:rPr>
              <w:t xml:space="preserve">      </w:t>
            </w:r>
            <w:r>
              <w:rPr>
                <w:rFonts w:hint="eastAsia"/>
                <w:color w:val="000000"/>
                <w:kern w:val="0"/>
                <w:sz w:val="28"/>
                <w:szCs w:val="28"/>
                <w:lang w:eastAsia="zh-CN"/>
              </w:rPr>
              <w:t>☑</w:t>
            </w:r>
            <w:r>
              <w:rPr>
                <w:rFonts w:hint="eastAsia" w:cs="仿宋_GB2312"/>
                <w:color w:val="000000"/>
                <w:kern w:val="0"/>
                <w:sz w:val="28"/>
                <w:szCs w:val="28"/>
              </w:rPr>
              <w:t>单位评价组</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评价年度：</w:t>
            </w:r>
          </w:p>
        </w:tc>
        <w:tc>
          <w:tcPr>
            <w:tcW w:w="5880" w:type="dxa"/>
            <w:gridSpan w:val="6"/>
            <w:tcBorders>
              <w:top w:val="nil"/>
              <w:left w:val="nil"/>
              <w:bottom w:val="single" w:color="000000" w:sz="4" w:space="0"/>
              <w:right w:val="nil"/>
            </w:tcBorders>
            <w:noWrap/>
            <w:tcMar>
              <w:top w:w="15" w:type="dxa"/>
              <w:left w:w="15" w:type="dxa"/>
              <w:right w:w="15" w:type="dxa"/>
            </w:tcMar>
            <w:vAlign w:val="bottom"/>
          </w:tcPr>
          <w:p>
            <w:pPr>
              <w:spacing w:line="600" w:lineRule="exact"/>
              <w:jc w:val="center"/>
              <w:rPr>
                <w:rFonts w:hint="default" w:eastAsia="仿宋_GB2312"/>
                <w:color w:val="000000"/>
                <w:sz w:val="28"/>
                <w:szCs w:val="28"/>
                <w:lang w:val="en-US" w:eastAsia="zh-CN"/>
              </w:rPr>
            </w:pPr>
            <w:r>
              <w:rPr>
                <w:rFonts w:hint="eastAsia"/>
                <w:color w:val="000000"/>
                <w:sz w:val="28"/>
                <w:szCs w:val="28"/>
                <w:lang w:val="en-US" w:eastAsia="zh-CN"/>
              </w:rPr>
              <w:t>2020年</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主管部门：</w:t>
            </w:r>
          </w:p>
        </w:tc>
        <w:tc>
          <w:tcPr>
            <w:tcW w:w="90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32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3660" w:type="dxa"/>
            <w:gridSpan w:val="4"/>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center"/>
              <w:textAlignment w:val="bottom"/>
              <w:rPr>
                <w:color w:val="000000"/>
                <w:sz w:val="24"/>
                <w:szCs w:val="24"/>
              </w:rPr>
            </w:pPr>
            <w:r>
              <w:rPr>
                <w:color w:val="000000"/>
                <w:kern w:val="0"/>
                <w:sz w:val="24"/>
                <w:szCs w:val="24"/>
              </w:rPr>
              <w:t xml:space="preserve">     </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4"/>
                <w:szCs w:val="24"/>
              </w:rPr>
            </w:pPr>
            <w:r>
              <w:rPr>
                <w:color w:val="000000"/>
                <w:kern w:val="0"/>
                <w:sz w:val="24"/>
                <w:szCs w:val="24"/>
              </w:rPr>
              <w:t xml:space="preserve">      </w:t>
            </w:r>
            <w:r>
              <w:rPr>
                <w:color w:val="000000"/>
                <w:kern w:val="0"/>
                <w:sz w:val="28"/>
                <w:szCs w:val="28"/>
              </w:rPr>
              <w:t>(</w:t>
            </w:r>
            <w:r>
              <w:rPr>
                <w:rFonts w:hint="eastAsia" w:cs="仿宋_GB2312"/>
                <w:color w:val="000000"/>
                <w:kern w:val="0"/>
                <w:sz w:val="28"/>
                <w:szCs w:val="28"/>
              </w:rPr>
              <w:t>盖章</w:t>
            </w:r>
            <w:r>
              <w:rPr>
                <w:color w:val="000000"/>
                <w:kern w:val="0"/>
                <w:sz w:val="28"/>
                <w:szCs w:val="28"/>
              </w:rPr>
              <w:t>)</w:t>
            </w: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widowControl/>
              <w:spacing w:line="600" w:lineRule="exact"/>
              <w:jc w:val="center"/>
              <w:textAlignment w:val="center"/>
              <w:rPr>
                <w:color w:val="000000"/>
              </w:rPr>
            </w:pPr>
            <w:r>
              <w:rPr>
                <w:rFonts w:hint="eastAsia" w:cs="仿宋_GB2312"/>
                <w:color w:val="000000"/>
                <w:kern w:val="0"/>
                <w:lang w:val="en-US" w:eastAsia="zh-CN"/>
              </w:rPr>
              <w:t>2021</w:t>
            </w:r>
            <w:r>
              <w:rPr>
                <w:rFonts w:hint="eastAsia" w:cs="仿宋_GB2312"/>
                <w:color w:val="000000"/>
                <w:kern w:val="0"/>
              </w:rPr>
              <w:t>年</w:t>
            </w:r>
            <w:r>
              <w:rPr>
                <w:color w:val="000000"/>
                <w:kern w:val="0"/>
              </w:rPr>
              <w:t xml:space="preserve"> </w:t>
            </w:r>
            <w:r>
              <w:rPr>
                <w:rFonts w:hint="eastAsia"/>
                <w:color w:val="000000"/>
                <w:kern w:val="0"/>
                <w:lang w:val="en-US" w:eastAsia="zh-CN"/>
              </w:rPr>
              <w:t>8</w:t>
            </w:r>
            <w:r>
              <w:rPr>
                <w:rFonts w:hint="eastAsia" w:cs="仿宋_GB2312"/>
                <w:color w:val="000000"/>
                <w:kern w:val="0"/>
              </w:rPr>
              <w:t>月</w:t>
            </w:r>
            <w:r>
              <w:rPr>
                <w:rFonts w:hint="eastAsia" w:cs="仿宋_GB2312"/>
                <w:color w:val="000000"/>
                <w:kern w:val="0"/>
                <w:lang w:val="en-US" w:eastAsia="zh-CN"/>
              </w:rPr>
              <w:t>19</w:t>
            </w:r>
            <w:r>
              <w:rPr>
                <w:rFonts w:hint="eastAsia" w:cs="仿宋_GB2312"/>
                <w:color w:val="000000"/>
                <w:kern w:val="0"/>
              </w:rPr>
              <w:t>日</w:t>
            </w: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jc w:val="center"/>
              <w:rPr>
                <w:color w:val="000000"/>
              </w:rPr>
            </w:pPr>
          </w:p>
        </w:tc>
      </w:tr>
    </w:tbl>
    <w:p/>
    <w:p>
      <w:pPr>
        <w:pStyle w:val="2"/>
        <w:ind w:left="0" w:leftChars="0" w:firstLine="0" w:firstLineChars="0"/>
        <w:jc w:val="center"/>
        <w:rPr>
          <w:rFonts w:ascii="黑体" w:hAnsi="黑体" w:eastAsia="黑体"/>
        </w:rPr>
      </w:pPr>
      <w:r>
        <w:rPr>
          <w:rFonts w:hint="eastAsia" w:ascii="方正小标宋简体" w:hAnsi="方正小标宋简体" w:eastAsia="方正小标宋简体" w:cs="方正小标宋简体"/>
          <w:sz w:val="44"/>
          <w:szCs w:val="44"/>
        </w:rPr>
        <w:t>项目支出绩效评价报告</w:t>
      </w:r>
    </w:p>
    <w:p>
      <w:pPr>
        <w:pStyle w:val="2"/>
        <w:spacing w:line="560" w:lineRule="exact"/>
        <w:ind w:left="0" w:leftChars="0" w:firstLine="31680"/>
        <w:rPr>
          <w:rFonts w:ascii="黑体" w:hAnsi="黑体" w:eastAsia="黑体"/>
        </w:rPr>
      </w:pPr>
      <w:r>
        <w:rPr>
          <w:rFonts w:hint="eastAsia" w:ascii="黑体" w:hAnsi="黑体" w:eastAsia="黑体" w:cs="黑体"/>
        </w:rPr>
        <w:t>一、基本情况</w:t>
      </w:r>
    </w:p>
    <w:p>
      <w:pPr>
        <w:spacing w:line="600" w:lineRule="exact"/>
        <w:ind w:firstLine="640" w:firstLineChars="200"/>
        <w:outlineLvl w:val="0"/>
        <w:rPr>
          <w:rFonts w:ascii="仿宋_GB2312"/>
        </w:rPr>
      </w:pPr>
      <w:r>
        <w:rPr>
          <w:rFonts w:hint="eastAsia" w:cs="仿宋_GB2312"/>
        </w:rPr>
        <w:t>项目概况</w:t>
      </w:r>
      <w:r>
        <w:rPr>
          <w:rFonts w:hint="eastAsia" w:cs="仿宋_GB2312"/>
          <w:lang w:eastAsia="zh-CN"/>
        </w:rPr>
        <w:t>：</w:t>
      </w:r>
      <w:r>
        <w:rPr>
          <w:rFonts w:hint="eastAsia" w:cs="仿宋_GB2312"/>
        </w:rPr>
        <w:t>为全面、准确、及时了解全县城乡居民收入、消费及其他生活状况，客观监测居民收入分配格局和不同收入层次居民的生活质量，更好地满足研究制定城乡统筹政策和民生政策的需要，为国民经济核算和居民消费价格指数权重制定提供基础数据和从抽样调查点取得的各季粮食作物播种面积、实测产量等各项资料，及时准确反映全县粮食作物生产情况，满足国家制定粮食政策和对粮食生产的分级管理需要。</w:t>
      </w:r>
      <w:r>
        <w:rPr>
          <w:rFonts w:hint="eastAsia" w:cs="仿宋_GB2312"/>
          <w:lang w:val="en-US" w:eastAsia="zh-CN"/>
        </w:rPr>
        <w:t>该项目</w:t>
      </w:r>
      <w:r>
        <w:rPr>
          <w:rFonts w:hint="eastAsia" w:cs="仿宋_GB2312"/>
        </w:rPr>
        <w:t>共涉及资金26万元，占一般公共预算项目支出总额的100%。涉及一般公共预算支出26万元，政府性基金预算支出0万元。</w:t>
      </w:r>
    </w:p>
    <w:p>
      <w:pPr>
        <w:pStyle w:val="2"/>
        <w:spacing w:line="560" w:lineRule="exact"/>
        <w:ind w:left="0" w:leftChars="0" w:firstLine="31680"/>
        <w:rPr>
          <w:rFonts w:ascii="黑体" w:hAnsi="黑体" w:eastAsia="黑体"/>
        </w:rPr>
      </w:pPr>
      <w:r>
        <w:rPr>
          <w:rFonts w:hint="eastAsia" w:ascii="黑体" w:hAnsi="黑体" w:eastAsia="黑体" w:cs="黑体"/>
        </w:rPr>
        <w:t>二、绩效评价工作开展情况</w:t>
      </w:r>
    </w:p>
    <w:p>
      <w:pPr>
        <w:pStyle w:val="2"/>
        <w:spacing w:line="560" w:lineRule="exact"/>
        <w:ind w:left="0" w:leftChars="0" w:firstLine="31680"/>
        <w:rPr>
          <w:rFonts w:hint="eastAsia" w:ascii="仿宋_GB2312" w:cs="仿宋_GB2312"/>
        </w:rPr>
      </w:pPr>
      <w:r>
        <w:rPr>
          <w:rFonts w:hint="eastAsia" w:ascii="仿宋_GB2312" w:cs="仿宋_GB2312"/>
        </w:rPr>
        <w:t>根据年初设定的绩效目标，城乡住户调查和粮食产量抽样调查项目绩效自评得分为99分。项目全年预算数为26万元，执行数为26万元，完成预算的100%。项目绩效目标完成情况：一是报表上报通过率 100%；二是报表上报及时率 100%。</w:t>
      </w:r>
    </w:p>
    <w:p>
      <w:pPr>
        <w:pStyle w:val="2"/>
        <w:spacing w:line="560" w:lineRule="exact"/>
        <w:ind w:left="0" w:leftChars="0" w:firstLine="31680"/>
        <w:rPr>
          <w:rFonts w:hint="eastAsia" w:ascii="仿宋_GB2312" w:cs="仿宋_GB2312"/>
        </w:rPr>
      </w:pPr>
      <w:r>
        <w:rPr>
          <w:rFonts w:hint="eastAsia" w:ascii="仿宋_GB2312" w:cs="仿宋_GB2312"/>
        </w:rPr>
        <w:t>城乡住户调查，是准确及时了解城乡居民收入、支出、就业、居住等状况的重要途径，也是宏观调控、科学决策的重要依据，城乡居民收入翻番、收入与GDP同步增长、全面小康和脱贫攻坚等社会发展目标均与住户调查数据息息相关。县统计局一是加强检查指导。要求各乡镇调查员、辅调员每月入户检查指导工作不得少于2次，并如实填写好《住户调查入户走访记录》，督促指导调查户要严格按照六有六无的标准，每日逐笔记录现金收支账和实物收支账，做到日清月结、不重不漏。二是强化审核评估。要求乡镇统计员要与调查户保持动态联系，做到对调查点10户收支基本情况了如指掌。三是认真自查自纠。重点围绕“点上有户，户上有账，机账对应”等方面认真开展自查自纠，对发现的问题要举一反三，积极进行整改，切实保障源头数据质量。</w:t>
      </w:r>
    </w:p>
    <w:p>
      <w:pPr>
        <w:pStyle w:val="2"/>
        <w:spacing w:line="560" w:lineRule="exact"/>
        <w:ind w:left="0" w:leftChars="0" w:firstLine="31680"/>
        <w:rPr>
          <w:rFonts w:hint="eastAsia" w:ascii="仿宋_GB2312" w:cs="仿宋_GB2312"/>
        </w:rPr>
      </w:pPr>
      <w:r>
        <w:rPr>
          <w:rFonts w:hint="eastAsia" w:ascii="仿宋_GB2312" w:cs="仿宋_GB2312"/>
        </w:rPr>
        <w:t>粮食产量抽样调查工作县统计局分成四个工作小组，分赴赤田镇、赤岸镇、会埠镇等6个样本乡镇15个调查点，开展粮食产量抽样调查实割实测调查工作。按照省、市粮食产量抽样调查工作方案，根据卫星图划定的样本框，对样本点内的每块样本田块进行了踏田估产，并记录在册。同时，把每个田块估产结果录入电脑后随机抽样确定要进行实割实测产量调查的具体田块，并按要求进行了实割实测产量调查。通过亲临一线的参与调查，进一步确保了统计调查的源头数据质量。</w:t>
      </w:r>
    </w:p>
    <w:p>
      <w:pPr>
        <w:pStyle w:val="2"/>
        <w:spacing w:line="560" w:lineRule="exact"/>
        <w:ind w:left="0" w:leftChars="0" w:firstLine="31680"/>
        <w:rPr>
          <w:rFonts w:ascii="黑体" w:hAnsi="黑体" w:eastAsia="黑体"/>
        </w:rPr>
      </w:pPr>
      <w:r>
        <w:rPr>
          <w:rFonts w:hint="eastAsia" w:ascii="黑体" w:hAnsi="黑体" w:eastAsia="黑体" w:cs="黑体"/>
        </w:rPr>
        <w:t>三、综合评价情况及评价结论</w:t>
      </w:r>
      <w:r>
        <w:rPr>
          <w:rFonts w:hint="eastAsia" w:ascii="仿宋_GB2312" w:hAnsi="仿宋_GB2312" w:cs="仿宋_GB2312"/>
        </w:rPr>
        <w:t>（</w:t>
      </w:r>
      <w:r>
        <w:rPr>
          <w:rFonts w:hint="eastAsia" w:ascii="仿宋_GB2312" w:hAnsi="仿宋_GB2312" w:cs="仿宋_GB2312"/>
          <w:lang w:val="en-US" w:eastAsia="zh-CN"/>
        </w:rPr>
        <w:t>详见附件2</w:t>
      </w:r>
      <w:bookmarkStart w:id="0" w:name="_GoBack"/>
      <w:bookmarkEnd w:id="0"/>
      <w:r>
        <w:rPr>
          <w:rFonts w:hint="eastAsia" w:ascii="仿宋_GB2312" w:hAnsi="仿宋_GB2312" w:cs="仿宋_GB2312"/>
        </w:rPr>
        <w:t>）</w:t>
      </w:r>
    </w:p>
    <w:p>
      <w:pPr>
        <w:pStyle w:val="2"/>
        <w:spacing w:line="560" w:lineRule="exact"/>
        <w:ind w:left="0" w:leftChars="0" w:firstLine="31680"/>
      </w:pPr>
      <w:r>
        <w:rPr>
          <w:rFonts w:hint="eastAsia" w:ascii="黑体" w:hAnsi="黑体" w:eastAsia="黑体" w:cs="黑体"/>
          <w:lang w:val="en-US" w:eastAsia="zh-CN"/>
        </w:rPr>
        <w:t>四</w:t>
      </w:r>
      <w:r>
        <w:rPr>
          <w:rFonts w:hint="eastAsia" w:ascii="黑体" w:hAnsi="黑体" w:eastAsia="黑体" w:cs="黑体"/>
        </w:rPr>
        <w:t>、主要经验及做法、存在的问题及原因分析</w:t>
      </w:r>
    </w:p>
    <w:p>
      <w:pPr>
        <w:pStyle w:val="2"/>
        <w:spacing w:line="560" w:lineRule="exact"/>
        <w:ind w:left="0" w:leftChars="0" w:firstLine="31680"/>
        <w:rPr>
          <w:rFonts w:ascii="仿宋_GB2312"/>
        </w:rPr>
      </w:pPr>
      <w:r>
        <w:rPr>
          <w:rFonts w:hint="eastAsia" w:ascii="仿宋_GB2312" w:cs="仿宋_GB2312"/>
        </w:rPr>
        <w:t>发现的问题及原因：一是记账户重视程度不够；二是记账户记账能力有限。下一步改进措施：一是努力提高记账户重视程度；二是扎实提升记账户记账能力。</w:t>
      </w:r>
    </w:p>
    <w:p>
      <w:pPr>
        <w:pStyle w:val="2"/>
        <w:spacing w:line="560" w:lineRule="exact"/>
        <w:ind w:left="0" w:leftChars="0" w:firstLine="31680"/>
      </w:pPr>
    </w:p>
    <w:sectPr>
      <w:pgSz w:w="11906" w:h="16838"/>
      <w:pgMar w:top="1984" w:right="1531" w:bottom="1984" w:left="1531" w:header="851" w:footer="992" w:gutter="0"/>
      <w:cols w:space="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50513B"/>
    <w:rsid w:val="00707E92"/>
    <w:rsid w:val="00735335"/>
    <w:rsid w:val="00895F78"/>
    <w:rsid w:val="008F6497"/>
    <w:rsid w:val="00DD1683"/>
    <w:rsid w:val="02160054"/>
    <w:rsid w:val="061A3D80"/>
    <w:rsid w:val="06262B67"/>
    <w:rsid w:val="066343C3"/>
    <w:rsid w:val="09020646"/>
    <w:rsid w:val="12951915"/>
    <w:rsid w:val="19E51D54"/>
    <w:rsid w:val="2A0C77FD"/>
    <w:rsid w:val="2B3B05E5"/>
    <w:rsid w:val="2C3F5DC0"/>
    <w:rsid w:val="352B51CB"/>
    <w:rsid w:val="366F389B"/>
    <w:rsid w:val="37CB1F94"/>
    <w:rsid w:val="39B24C04"/>
    <w:rsid w:val="3C092D3C"/>
    <w:rsid w:val="465E34E6"/>
    <w:rsid w:val="4A445EC7"/>
    <w:rsid w:val="4DF76AC4"/>
    <w:rsid w:val="4FD04152"/>
    <w:rsid w:val="51E85820"/>
    <w:rsid w:val="5E50513B"/>
    <w:rsid w:val="5F193341"/>
    <w:rsid w:val="679D40C2"/>
    <w:rsid w:val="6C9F7C84"/>
    <w:rsid w:val="71153C86"/>
    <w:rsid w:val="7E231C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uiPriority w:val="99"/>
    <w:pPr>
      <w:ind w:firstLine="420" w:firstLineChars="200"/>
    </w:pPr>
  </w:style>
  <w:style w:type="paragraph" w:styleId="3">
    <w:name w:val="Body Text Indent"/>
    <w:basedOn w:val="1"/>
    <w:link w:val="6"/>
    <w:uiPriority w:val="99"/>
    <w:pPr>
      <w:ind w:left="420" w:leftChars="200"/>
    </w:pPr>
  </w:style>
  <w:style w:type="character" w:customStyle="1" w:styleId="6">
    <w:name w:val="Body Text Indent Char"/>
    <w:basedOn w:val="5"/>
    <w:link w:val="3"/>
    <w:semiHidden/>
    <w:uiPriority w:val="99"/>
    <w:rPr>
      <w:rFonts w:eastAsia="仿宋_GB2312"/>
      <w:sz w:val="32"/>
      <w:szCs w:val="32"/>
    </w:rPr>
  </w:style>
  <w:style w:type="character" w:customStyle="1" w:styleId="7">
    <w:name w:val="Body Text First Indent 2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果核剥壳</Company>
  <Pages>2</Pages>
  <Words>77</Words>
  <Characters>445</Characters>
  <Lines>0</Lines>
  <Paragraphs>0</Paragraphs>
  <TotalTime>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2020-03-10T02:17:00Z</dcterms:created>
  <dc:creator>shadow</dc:creator>
  <cp:lastModifiedBy>hp</cp:lastModifiedBy>
  <cp:lastPrinted>2020-03-12T01:11:00Z</cp:lastPrinted>
  <dcterms:modified xsi:type="dcterms:W3CDTF">2021-09-03T06:57:33Z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4A42B1E197384ECE97B7ADC43A88A1EF</vt:lpwstr>
  </property>
</Properties>
</file>