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sz w:val="32"/>
          <w:szCs w:val="32"/>
          <w:lang w:bidi="ar-SA"/>
        </w:rPr>
        <w:t>附件3</w:t>
      </w:r>
    </w:p>
    <w:tbl>
      <w:tblPr>
        <w:tblStyle w:val="4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严重精神障碍患者监护人以奖代补资金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奉新县委政法委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奉新县委政法委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2021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9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3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ind w:left="0" w:leftChars="0" w:firstLine="0" w:firstLineChars="0"/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/>
          <w:kern w:val="2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kern w:val="2"/>
          <w:sz w:val="30"/>
          <w:szCs w:val="30"/>
          <w:lang w:val="en-US" w:eastAsia="zh-CN"/>
        </w:rPr>
        <w:t>一、基本情况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（一）单位基本情况</w:t>
      </w:r>
    </w:p>
    <w:p>
      <w:pPr>
        <w:pStyle w:val="2"/>
        <w:spacing w:line="560" w:lineRule="exact"/>
        <w:ind w:left="0" w:leftChars="0" w:firstLine="3168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本部门2020年年末实有人数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人，其中在职人员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人，退休人员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sz w:val="30"/>
          <w:szCs w:val="30"/>
        </w:rPr>
        <w:t>人。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/>
          <w:kern w:val="2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kern w:val="2"/>
          <w:sz w:val="30"/>
          <w:szCs w:val="30"/>
          <w:lang w:val="en-US" w:eastAsia="zh-CN"/>
        </w:rPr>
        <w:t>二、绩效评价工作开展情况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（一）绩效评价目的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绩效评价，是为了在制度和技术层面保证政府投资项目的社会和经济效益，有效提高政府决策的科学性和准确性，提升财政资金使用效率；也有助于增强政府管理的透明度和责任意识，加快政府职能转变，提升政府治理能力和执法能力，保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政法</w:t>
      </w:r>
      <w:r>
        <w:rPr>
          <w:rFonts w:hint="eastAsia" w:ascii="仿宋" w:hAnsi="仿宋" w:eastAsia="仿宋" w:cs="仿宋"/>
          <w:sz w:val="32"/>
          <w:szCs w:val="32"/>
        </w:rPr>
        <w:t>工作发展的可持续性和有效性，对项目所产生的各种效益进行衡量比较和综合评判，便于总结经验、发现问题、加强管理；保证专项资金使用管理的规范性、安全性和有效性。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绩效评价工作的组织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1.各项财政资金按照项目实施进度安排，按时足额到位。未出现截留、挤占、挪用等现象。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2.经费到达后，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政法委</w:t>
      </w:r>
      <w:r>
        <w:rPr>
          <w:rFonts w:hint="eastAsia" w:ascii="仿宋" w:hAnsi="仿宋" w:eastAsia="仿宋" w:cs="仿宋"/>
          <w:sz w:val="32"/>
          <w:szCs w:val="32"/>
        </w:rPr>
        <w:t>制定了资金使用方案，严格按财政资金管理工作规定和用途专款专用。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3.申报项目工作经费的经济性主要表现在项目以最低成本达到目标，节约了资金，从而实现更多的项目效益。</w:t>
      </w:r>
    </w:p>
    <w:p>
      <w:pPr>
        <w:pStyle w:val="2"/>
        <w:spacing w:line="560" w:lineRule="exact"/>
        <w:ind w:left="0" w:leftChars="0" w:firstLine="316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/>
          <w:kern w:val="2"/>
          <w:sz w:val="30"/>
          <w:szCs w:val="30"/>
          <w:lang w:val="en-US" w:eastAsia="zh-CN"/>
        </w:rPr>
        <w:t>三、综合评价情况及评价结论（附相关评分表）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drawing>
          <wp:inline distT="0" distB="0" distL="114300" distR="114300">
            <wp:extent cx="4762500" cy="5924550"/>
            <wp:effectExtent l="0" t="0" r="0" b="0"/>
            <wp:docPr id="1" name="图片 1" descr="2e458371f3ec2e073f694073c1a6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e458371f3ec2e073f694073c1a64c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36058"/>
    <w:rsid w:val="59F36058"/>
    <w:rsid w:val="657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2021-08-23T08:14:00Z</dcterms:created>
  <dc:creator>涵宇馨</dc:creator>
  <cp:lastModifiedBy>Administrator</cp:lastModifiedBy>
  <dcterms:modified xsi:type="dcterms:W3CDTF">2021-09-02T08:47:47Z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931A980948F34E53B02C46183C2D9BAA</vt:lpwstr>
  </property>
</Properties>
</file>