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弥补函授学校停办工作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中共奉新县委党校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both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中共奉新县委党校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31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cs="仿宋_GB2312"/>
        </w:rPr>
        <w:t>（参考提纲）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cs="仿宋_GB2312"/>
        </w:rPr>
      </w:pPr>
      <w:r>
        <w:rPr>
          <w:rFonts w:hint="eastAsia" w:cs="仿宋_GB2312"/>
        </w:rPr>
        <w:t>（一）项目概况。</w:t>
      </w:r>
      <w:r>
        <w:rPr>
          <w:rFonts w:hint="eastAsia" w:ascii="仿宋_GB2312" w:cs="仿宋_GB2312"/>
        </w:rPr>
        <w:t>包括项目背景、主要内容及实施情况、资金投入和使用情况等。</w:t>
      </w:r>
    </w:p>
    <w:p>
      <w:pPr>
        <w:bidi w:val="0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</w:rPr>
        <w:t>2014年2月，党校搬入新校区后，教育培训规模和办公区域数倍地扩大，各种教学设备数量大幅度地增加，但维护费用相当高，水费、电费、教学、科研等各费用大幅度增加，加上党校函授停办，无其他收入来源，因此本项目用以维护我校的教学、科研、学科建设和行政后勤设备维护等各方面的经费，保障学校正常运转。</w:t>
      </w:r>
      <w:r>
        <w:rPr>
          <w:rFonts w:hint="eastAsia"/>
          <w:lang w:eastAsia="zh-CN"/>
        </w:rPr>
        <w:t>项目资金是</w:t>
      </w:r>
      <w:r>
        <w:rPr>
          <w:rFonts w:hint="eastAsia"/>
        </w:rPr>
        <w:t>财政拨款8万元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项目绩效目标。包括总体目标和阶段性目标。</w:t>
      </w:r>
    </w:p>
    <w:p>
      <w:pPr>
        <w:bidi w:val="0"/>
        <w:ind w:firstLine="640" w:firstLineChars="200"/>
        <w:rPr>
          <w:rFonts w:hint="eastAsia"/>
        </w:rPr>
      </w:pPr>
      <w:r>
        <w:rPr>
          <w:rFonts w:hint="eastAsia"/>
        </w:rPr>
        <w:t>坚持以教学为中心、科研为基础、信息化为手段、行政后勤为保障，不断改善办学设施，优化师资队伍，提升教研水平，干部教育培训主渠道、主阵地和党性锻炼熔炉作用得到了充分发挥。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bidi w:val="0"/>
        <w:ind w:firstLine="640" w:firstLineChars="200"/>
      </w:pPr>
      <w:r>
        <w:t>根据</w:t>
      </w:r>
      <w:r>
        <w:rPr>
          <w:rFonts w:hint="eastAsia"/>
          <w:lang w:eastAsia="zh-CN"/>
        </w:rPr>
        <w:t>党校</w:t>
      </w:r>
      <w:r>
        <w:t>现有条件，经考察、研究，拟定本项目绩效目标。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绩效评价原则、评价指标体系（附表说明）、评价方法、评价标准等。</w:t>
      </w:r>
    </w:p>
    <w:p>
      <w:pPr>
        <w:pStyle w:val="2"/>
        <w:numPr>
          <w:ilvl w:val="0"/>
          <w:numId w:val="2"/>
        </w:numPr>
        <w:ind w:left="0" w:leftChars="0" w:firstLine="640" w:firstLineChars="200"/>
        <w:rPr>
          <w:rFonts w:hint="eastAsia"/>
        </w:rPr>
      </w:pPr>
      <w:r>
        <w:rPr>
          <w:rFonts w:hint="eastAsia"/>
          <w:lang w:eastAsia="zh-CN"/>
        </w:rPr>
        <w:t>绩效评价原则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  <w:lang w:eastAsia="zh-CN"/>
        </w:rPr>
        <w:t>一</w:t>
      </w:r>
      <w:r>
        <w:rPr>
          <w:rFonts w:hint="eastAsia"/>
        </w:rPr>
        <w:t>是坚持科学规范原则，定量与定性分析相结合</w:t>
      </w:r>
      <w:r>
        <w:rPr>
          <w:rFonts w:hint="eastAsia"/>
          <w:lang w:eastAsia="zh-CN"/>
        </w:rPr>
        <w:t>；</w:t>
      </w:r>
      <w:r>
        <w:rPr>
          <w:rFonts w:hint="eastAsia"/>
        </w:rPr>
        <w:t>二是坚持客观公正原则，严格按照评价指标体系进行评价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三是坚持实事求是原则依据基础数据，以事实为准绳进行评价。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2)评价指标体系</w:t>
      </w:r>
    </w:p>
    <w:tbl>
      <w:tblPr>
        <w:tblStyle w:val="4"/>
        <w:tblW w:w="99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871"/>
        <w:gridCol w:w="750"/>
        <w:gridCol w:w="1830"/>
        <w:gridCol w:w="710"/>
        <w:gridCol w:w="1005"/>
        <w:gridCol w:w="695"/>
        <w:gridCol w:w="771"/>
        <w:gridCol w:w="737"/>
        <w:gridCol w:w="15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项目支出绩效评分表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  <w:r>
              <w:rPr>
                <w:rStyle w:val="8"/>
                <w:lang w:val="en-US" w:eastAsia="zh-CN" w:bidi="ar"/>
              </w:rPr>
              <w:t>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指标分值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评分标准</w:t>
            </w:r>
            <w:r>
              <w:rPr>
                <w:rStyle w:val="8"/>
                <w:lang w:val="en-US" w:eastAsia="zh-CN" w:bidi="ar"/>
              </w:rPr>
              <w:t>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决策（15分）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立项依据充分性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①项目立项是否符合国家法律法规、国民经济发展规划和相关政策；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②项目立项是否符合行业发展规划和政策要求；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③项目立项是否与部门职责范围相符，属于部门履职所需；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④项目是否属于公共财政支持范围，是否符合中央、地方事权支出责任划分原则；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⑤项目是否与相关部门同类项目或部门内部相关项目重复。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①项目是否按照规定的程序申请设立；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②审批文件、材料是否符合相关要求；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③事前是否已经过必要的可行性研究、专家论证、风险评估、绩效评估、集体决策。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①项目是否有绩效目标；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②项目绩效目标与实际工作内容是否具有相关性；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③项目预期产出效益和效果是否符合正常的业绩水平；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④是否与预算确定的项目投资额或资金量相匹配。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①是否将项目绩效目标细化分解为具体的绩效指标；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②是否通过清晰、可衡量的指标值予以体现；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③是否与项目目标任务数或计划数相对应。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①预算编制是否经过科学论证；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②预算内容与项目内容是否匹配；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③预算额度测算依据是否充分，是否按照标准编制；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④预算确定的项目投资额或资金量是否与工作任务相匹配。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①预算资金分配依据是否充分；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②资金分配额度是否合理，与项目单位或地方实际是否相适应。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过程（15分）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资金管理（8分）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资金到位率达到90%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预算执行率达到90%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组织实施（7分）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①是否已制定或具有相应的财务和业务管理制度；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②财务和业务管理制度是否合法、合规、完整。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制度执行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①是否遵守相关法律法规和相关管理规定；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②项目调整及支出调整手续是否完备；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③项目合同书、验收报告、技术鉴定等资料是否齐全并及时归档；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④项目实施的人员条件、场地设备、信息支撑等是否落实到位。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产出（45分）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产出数量（10分）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举办各类班次期数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举办十期培训班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产出质量（15分）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仪器设备、水电设施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运行正常，无责任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偶有设备需维护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产出时效（10分）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按期完成主体班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全部培训任务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按期完成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产出成本（10分）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严格成本控制，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预算使用率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效益（25分）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经济效益（5分）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不适用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该单位为参公事业单位，因此该单位工作内容与工作性质，经济效益考核不适用。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为干部培训工作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做好准备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为培训工作提供后勤保障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节能降耗检查合格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培训用教材资料规范，符合县级党校标准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满意度（5分）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学员满意率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满意度评价达到90%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主管部门（单位）评价等级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优(90分及以上)  良(80分-89分)  中(60分-79分)  差(60分以下)</w:t>
            </w:r>
          </w:p>
        </w:tc>
      </w:tr>
    </w:tbl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</w:rPr>
        <w:t>3）评价方法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、专业人员评价。在指标选择、权重设定等工作过程中，采用了本部门范围内专业人员进行评价的办法。运用目标预定与实施效果比较法： 通过比较财政支出所产生的实际效果与预定的目标，分析完成（或未完成）目标的因素，从而评价财政支出绩效。 运用成本——效益比较法： 针对财政支出确定的目标，在目标效益额相同的情况下， 对支出项目中发生的各种正常开支、额外开支和特殊费用等进行比较， 以最小成本取得最大效益为优。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cs="仿宋_GB2312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、问卷调查。设计问卷调查走访、电话回访、座谈等形式对有关评价内容完成情况进行打分， 并根据分值情况评价绩效目标完成情况，作为对项目绩效评价依据。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（三）绩效评价工作过程。</w:t>
      </w:r>
    </w:p>
    <w:p>
      <w:pPr>
        <w:pStyle w:val="2"/>
        <w:spacing w:line="560" w:lineRule="exact"/>
        <w:ind w:left="0" w:leftChars="0" w:firstLine="3168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党校制订了相关制度，并进行了日常检查监督管理工作。</w:t>
      </w:r>
    </w:p>
    <w:p>
      <w:pPr>
        <w:pStyle w:val="2"/>
        <w:numPr>
          <w:ilvl w:val="0"/>
          <w:numId w:val="3"/>
        </w:numPr>
        <w:spacing w:line="560" w:lineRule="exact"/>
        <w:ind w:left="0" w:leftChars="0" w:firstLine="31680"/>
        <w:rPr>
          <w:rFonts w:hint="eastAsia" w:ascii="仿宋_GB2312" w:hAnsi="仿宋_GB2312" w:cs="仿宋_GB2312"/>
        </w:rPr>
      </w:pPr>
      <w:r>
        <w:rPr>
          <w:rFonts w:hint="eastAsia" w:ascii="黑体" w:hAnsi="黑体" w:eastAsia="黑体" w:cs="黑体"/>
        </w:rPr>
        <w:t>综合评价情况及评价结论</w:t>
      </w:r>
      <w:r>
        <w:rPr>
          <w:rFonts w:hint="eastAsia" w:ascii="仿宋_GB2312" w:hAnsi="仿宋_GB2312" w:cs="仿宋_GB2312"/>
        </w:rPr>
        <w:t>（附相关评分表）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1）项目资金到位及时，专款专用、不超预算；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）项目管理严格、有效 </w:t>
      </w:r>
      <w:r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）项目成效设定合理，符合立项目标；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评价结论：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党校</w:t>
      </w:r>
      <w:r>
        <w:rPr>
          <w:rFonts w:hint="eastAsia"/>
          <w:color w:val="000000"/>
          <w:sz w:val="32"/>
          <w:szCs w:val="32"/>
        </w:rPr>
        <w:t>弥补函授学校停办工作</w:t>
      </w:r>
      <w:r>
        <w:rPr>
          <w:rFonts w:hint="eastAsia"/>
          <w:color w:val="000000"/>
          <w:sz w:val="32"/>
          <w:szCs w:val="32"/>
          <w:lang w:eastAsia="zh-CN"/>
        </w:rPr>
        <w:t>项目</w:t>
      </w:r>
      <w:r>
        <w:rPr>
          <w:rFonts w:hint="default"/>
          <w:sz w:val="32"/>
          <w:szCs w:val="32"/>
          <w:lang w:val="en-US" w:eastAsia="zh-CN"/>
        </w:rPr>
        <w:t>自评量化得分</w:t>
      </w:r>
      <w:r>
        <w:rPr>
          <w:rFonts w:hint="default"/>
          <w:lang w:val="en-US" w:eastAsia="zh-CN"/>
        </w:rPr>
        <w:t>：9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640" w:firstLineChars="200"/>
        <w:rPr>
          <w:rFonts w:hint="eastAsia"/>
        </w:rPr>
      </w:pPr>
      <w:r>
        <w:rPr>
          <w:rFonts w:hint="default"/>
          <w:lang w:val="en-US" w:eastAsia="zh-CN"/>
        </w:rPr>
        <w:t>项目绩效评价结果：优秀。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（一）项目决策情况。</w:t>
      </w:r>
    </w:p>
    <w:p>
      <w:pPr>
        <w:bidi w:val="0"/>
        <w:ind w:firstLine="640" w:firstLineChars="200"/>
      </w:pPr>
      <w:r>
        <w:rPr>
          <w:rFonts w:hint="eastAsia"/>
        </w:rPr>
        <w:t>党校进行了认真组织，认真施行。党校制订了相关制度，并进行了日常检查监督管理工作。</w:t>
      </w:r>
    </w:p>
    <w:p>
      <w:pPr>
        <w:numPr>
          <w:ilvl w:val="0"/>
          <w:numId w:val="4"/>
        </w:numPr>
        <w:spacing w:line="600" w:lineRule="exact"/>
        <w:ind w:firstLine="640" w:firstLineChars="200"/>
        <w:outlineLvl w:val="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项目过程情况。</w:t>
      </w:r>
    </w:p>
    <w:p>
      <w:pPr>
        <w:pStyle w:val="2"/>
        <w:numPr>
          <w:ilvl w:val="0"/>
          <w:numId w:val="0"/>
        </w:numPr>
        <w:ind w:firstLine="640" w:firstLineChars="200"/>
      </w:pPr>
      <w:r>
        <w:rPr>
          <w:rFonts w:hint="eastAsia"/>
        </w:rPr>
        <w:t>资金到位及时，使用按计划进行，项目的产出达到目标，项目效果良好，项目的绩效基本实现。</w:t>
      </w:r>
    </w:p>
    <w:p>
      <w:pPr>
        <w:numPr>
          <w:ilvl w:val="0"/>
          <w:numId w:val="4"/>
        </w:numPr>
        <w:spacing w:line="600" w:lineRule="exact"/>
        <w:ind w:left="0" w:leftChars="0" w:firstLine="640" w:firstLineChars="200"/>
        <w:outlineLvl w:val="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项目产出情况。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</w:rPr>
        <w:t>党校干部教育培训主渠道、主阵地和党性锻炼熔炉作用得到了充分发挥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4"/>
        </w:numPr>
        <w:spacing w:line="560" w:lineRule="exact"/>
        <w:ind w:left="0" w:leftChars="0"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项目效益情况。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提升了我校日常公用经费的使用绩效，强化了对各类业务费用支出的财务管理，有利于不断改善党校的办学设施，优化师资队伍，提升教研水平，不断提高干部教育培训质量。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总的来看，我单位在预算绩效管理工作中仍存在一些问题需要解决，还有一些不足之处需要完善。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</w:t>
      </w:r>
      <w:r>
        <w:rPr>
          <w:rFonts w:hint="eastAsia" w:ascii="仿宋_GB2312" w:cs="仿宋_GB2312"/>
          <w:sz w:val="32"/>
          <w:szCs w:val="32"/>
        </w:rPr>
        <w:t>项目支出运行实践经验还欠缺</w:t>
      </w:r>
      <w:r>
        <w:rPr>
          <w:rFonts w:hint="eastAsia" w:asci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二是绩效目标设立不够明确、细化和量化。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rPr>
          <w:rFonts w:hint="eastAsia" w:ascii="黑体" w:hAnsi="黑体" w:eastAsia="仿宋_GB2312" w:cs="黑体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三是</w:t>
      </w:r>
      <w:r>
        <w:rPr>
          <w:rFonts w:hint="eastAsia" w:ascii="仿宋_GB2312" w:cs="仿宋_GB2312"/>
          <w:sz w:val="32"/>
          <w:szCs w:val="32"/>
        </w:rPr>
        <w:t>相关人员配备略显不足</w:t>
      </w:r>
      <w:r>
        <w:rPr>
          <w:rFonts w:hint="eastAsia" w:ascii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pStyle w:val="2"/>
        <w:numPr>
          <w:ilvl w:val="0"/>
          <w:numId w:val="0"/>
        </w:numPr>
        <w:ind w:firstLine="640" w:firstLineChars="200"/>
      </w:pPr>
      <w:r>
        <w:rPr>
          <w:rFonts w:hint="eastAsia"/>
        </w:rPr>
        <w:t>进一步完善绩效管理制度，强化绩效管理意识。提升项目资金管理人员的业务能力，加强专业培训力度，配备相关人员专门负责项目支出运行管理。</w:t>
      </w:r>
    </w:p>
    <w:p>
      <w:pPr>
        <w:pStyle w:val="2"/>
        <w:numPr>
          <w:ilvl w:val="0"/>
          <w:numId w:val="5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其他需要说明的问题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仿宋_GB2312" w:cs="黑体"/>
          <w:lang w:val="en-US" w:eastAsia="zh-CN"/>
        </w:rPr>
      </w:pPr>
      <w:r>
        <w:rPr>
          <w:rFonts w:hint="eastAsia"/>
          <w:lang w:eastAsia="zh-CN"/>
        </w:rPr>
        <w:t>无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6E420"/>
    <w:multiLevelType w:val="singleLevel"/>
    <w:tmpl w:val="A8C6E4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30F5CBA"/>
    <w:multiLevelType w:val="singleLevel"/>
    <w:tmpl w:val="C30F5CB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409EAFF"/>
    <w:multiLevelType w:val="singleLevel"/>
    <w:tmpl w:val="C409EAF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DE5CA8B"/>
    <w:multiLevelType w:val="singleLevel"/>
    <w:tmpl w:val="1DE5CA8B"/>
    <w:lvl w:ilvl="0" w:tentative="0">
      <w:start w:val="1"/>
      <w:numFmt w:val="decimal"/>
      <w:suff w:val="space"/>
      <w:lvlText w:val="%1）"/>
      <w:lvlJc w:val="left"/>
    </w:lvl>
  </w:abstractNum>
  <w:abstractNum w:abstractNumId="4">
    <w:nsid w:val="319C0376"/>
    <w:multiLevelType w:val="singleLevel"/>
    <w:tmpl w:val="319C03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2951915"/>
    <w:rsid w:val="19E51D54"/>
    <w:rsid w:val="268C3AE8"/>
    <w:rsid w:val="27B41690"/>
    <w:rsid w:val="2B3B05E5"/>
    <w:rsid w:val="37CB1F94"/>
    <w:rsid w:val="39B24C04"/>
    <w:rsid w:val="465E34E6"/>
    <w:rsid w:val="4DF76AC4"/>
    <w:rsid w:val="552F3812"/>
    <w:rsid w:val="5E50513B"/>
    <w:rsid w:val="679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qFormat/>
    <w:uiPriority w:val="99"/>
    <w:pPr>
      <w:ind w:left="420" w:leftChars="200"/>
    </w:pPr>
  </w:style>
  <w:style w:type="character" w:customStyle="1" w:styleId="6">
    <w:name w:val="Body Text Indent Char"/>
    <w:basedOn w:val="5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7">
    <w:name w:val="Body Text First Indent 2 Char"/>
    <w:basedOn w:val="6"/>
    <w:link w:val="2"/>
    <w:semiHidden/>
    <w:qFormat/>
    <w:uiPriority w:val="99"/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Teacher. Ho</cp:lastModifiedBy>
  <cp:lastPrinted>2020-03-12T01:11:00Z</cp:lastPrinted>
  <dcterms:modified xsi:type="dcterms:W3CDTF">2021-09-03T02:20:41Z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EF5761EEC8AE40BFA0E1F75B0B6B95F1</vt:lpwstr>
  </property>
</Properties>
</file>