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030" w:type="dxa"/>
        <w:tblInd w:w="2" w:type="dxa"/>
        <w:tblLayout w:type="fixed"/>
        <w:tblCellMar>
          <w:top w:w="0" w:type="dxa"/>
          <w:left w:w="0" w:type="dxa"/>
          <w:bottom w:w="0" w:type="dxa"/>
          <w:right w:w="0" w:type="dxa"/>
        </w:tblCellMar>
      </w:tblPr>
      <w:tblGrid>
        <w:gridCol w:w="1470"/>
        <w:gridCol w:w="900"/>
        <w:gridCol w:w="1320"/>
        <w:gridCol w:w="975"/>
        <w:gridCol w:w="690"/>
        <w:gridCol w:w="1170"/>
        <w:gridCol w:w="825"/>
        <w:gridCol w:w="1680"/>
      </w:tblGrid>
      <w:tr>
        <w:tblPrEx>
          <w:tblCellMar>
            <w:top w:w="0" w:type="dxa"/>
            <w:left w:w="0" w:type="dxa"/>
            <w:bottom w:w="0" w:type="dxa"/>
            <w:right w:w="0" w:type="dxa"/>
          </w:tblCellMar>
        </w:tblPrEx>
        <w:trPr>
          <w:trHeight w:val="840" w:hRule="atLeast"/>
        </w:trPr>
        <w:tc>
          <w:tcPr>
            <w:tcW w:w="1470" w:type="dxa"/>
            <w:tcBorders>
              <w:top w:val="nil"/>
              <w:left w:val="nil"/>
              <w:bottom w:val="nil"/>
              <w:right w:val="nil"/>
            </w:tcBorders>
            <w:noWrap/>
            <w:tcMar>
              <w:top w:w="15" w:type="dxa"/>
              <w:left w:w="15" w:type="dxa"/>
              <w:right w:w="15" w:type="dxa"/>
            </w:tcMar>
            <w:vAlign w:val="center"/>
          </w:tcPr>
          <w:p>
            <w:pPr>
              <w:widowControl/>
              <w:jc w:val="left"/>
              <w:textAlignment w:val="center"/>
              <w:rPr>
                <w:rFonts w:ascii="仿宋_GB2312" w:hAnsi="宋体"/>
                <w:b/>
                <w:bCs/>
                <w:color w:val="000000"/>
                <w:sz w:val="24"/>
                <w:szCs w:val="24"/>
              </w:rPr>
            </w:pPr>
            <w:r>
              <w:rPr>
                <w:rFonts w:hint="eastAsia" w:ascii="黑体" w:hAnsi="黑体" w:eastAsia="黑体" w:cs="黑体"/>
              </w:rPr>
              <w:t>附件</w:t>
            </w:r>
            <w:r>
              <w:rPr>
                <w:rFonts w:ascii="黑体" w:hAnsi="黑体" w:eastAsia="黑体" w:cs="黑体"/>
              </w:rPr>
              <w:t>3</w:t>
            </w:r>
          </w:p>
        </w:tc>
        <w:tc>
          <w:tcPr>
            <w:tcW w:w="90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32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97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69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17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825"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c>
          <w:tcPr>
            <w:tcW w:w="1680" w:type="dxa"/>
            <w:tcBorders>
              <w:top w:val="nil"/>
              <w:left w:val="nil"/>
              <w:bottom w:val="nil"/>
              <w:right w:val="nil"/>
            </w:tcBorders>
            <w:noWrap/>
            <w:tcMar>
              <w:top w:w="15" w:type="dxa"/>
              <w:left w:w="15" w:type="dxa"/>
              <w:right w:w="15" w:type="dxa"/>
            </w:tcMar>
            <w:vAlign w:val="bottom"/>
          </w:tcPr>
          <w:p>
            <w:pPr>
              <w:rPr>
                <w:rFonts w:ascii="仿宋" w:hAnsi="仿宋" w:eastAsia="仿宋"/>
                <w:color w:val="000000"/>
                <w:sz w:val="24"/>
                <w:szCs w:val="24"/>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jc w:val="center"/>
              <w:textAlignment w:val="center"/>
              <w:rPr>
                <w:rFonts w:ascii="方正小标宋简体" w:hAnsi="仿宋" w:eastAsia="方正小标宋简体"/>
                <w:color w:val="000000"/>
                <w:sz w:val="44"/>
                <w:szCs w:val="44"/>
              </w:rPr>
            </w:pPr>
            <w:r>
              <w:rPr>
                <w:rFonts w:hint="eastAsia" w:ascii="方正小标宋简体" w:hAnsi="仿宋" w:eastAsia="方正小标宋简体" w:cs="方正小标宋简体"/>
                <w:color w:val="000000"/>
                <w:kern w:val="0"/>
                <w:sz w:val="44"/>
                <w:szCs w:val="44"/>
              </w:rPr>
              <w:t>项目支出绩效评价报告</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rFonts w:ascii="仿宋" w:hAnsi="仿宋" w:eastAsia="仿宋"/>
                <w:color w:val="000000"/>
                <w:sz w:val="22"/>
                <w:szCs w:val="22"/>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项目名称：</w:t>
            </w:r>
          </w:p>
        </w:tc>
        <w:tc>
          <w:tcPr>
            <w:tcW w:w="7560" w:type="dxa"/>
            <w:gridSpan w:val="7"/>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eastAsia" w:eastAsia="仿宋_GB2312"/>
                <w:color w:val="000000"/>
                <w:sz w:val="28"/>
                <w:szCs w:val="28"/>
                <w:lang w:val="en-US" w:eastAsia="zh-CN"/>
              </w:rPr>
            </w:pPr>
            <w:r>
              <w:rPr>
                <w:rFonts w:hint="eastAsia"/>
                <w:color w:val="000000"/>
                <w:sz w:val="28"/>
                <w:szCs w:val="28"/>
                <w:lang w:val="en-US" w:eastAsia="zh-CN"/>
              </w:rPr>
              <w:t>警犬驯养、禁毒及国保专项经费</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center"/>
          </w:tcPr>
          <w:p>
            <w:pPr>
              <w:spacing w:line="600" w:lineRule="exac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项目类别：</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sym w:font="Wingdings 2" w:char="00A3"/>
            </w:r>
            <w:r>
              <w:rPr>
                <w:rFonts w:hint="eastAsia" w:cs="仿宋_GB2312"/>
                <w:color w:val="000000"/>
                <w:kern w:val="0"/>
                <w:sz w:val="28"/>
                <w:szCs w:val="28"/>
              </w:rPr>
              <w:t>经建类</w:t>
            </w:r>
            <w:r>
              <w:rPr>
                <w:color w:val="000000"/>
                <w:kern w:val="0"/>
                <w:sz w:val="28"/>
                <w:szCs w:val="28"/>
              </w:rPr>
              <w:t xml:space="preserve">       </w:t>
            </w:r>
            <w:r>
              <w:rPr>
                <w:color w:val="000000"/>
                <w:kern w:val="0"/>
                <w:sz w:val="28"/>
                <w:szCs w:val="28"/>
              </w:rPr>
              <w:sym w:font="Wingdings 2" w:char="0052"/>
            </w:r>
            <w:r>
              <w:rPr>
                <w:rFonts w:hint="eastAsia" w:cs="仿宋_GB2312"/>
                <w:color w:val="000000"/>
                <w:kern w:val="0"/>
                <w:sz w:val="28"/>
                <w:szCs w:val="28"/>
              </w:rPr>
              <w:t>社会事业类</w:t>
            </w:r>
            <w:r>
              <w:rPr>
                <w:color w:val="000000"/>
                <w:kern w:val="0"/>
                <w:sz w:val="28"/>
                <w:szCs w:val="28"/>
              </w:rPr>
              <w:t xml:space="preserve">       </w:t>
            </w:r>
            <w:r>
              <w:rPr>
                <w:color w:val="000000"/>
                <w:kern w:val="0"/>
                <w:sz w:val="28"/>
                <w:szCs w:val="28"/>
              </w:rPr>
              <w:sym w:font="Wingdings 2" w:char="00A3"/>
            </w:r>
            <w:r>
              <w:rPr>
                <w:rFonts w:hint="eastAsia" w:cs="仿宋_GB2312"/>
                <w:color w:val="000000"/>
                <w:kern w:val="0"/>
                <w:sz w:val="28"/>
                <w:szCs w:val="28"/>
              </w:rPr>
              <w:t>其他类</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项目单位：</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eastAsia" w:eastAsia="仿宋_GB2312"/>
                <w:color w:val="000000"/>
                <w:sz w:val="28"/>
                <w:szCs w:val="28"/>
                <w:lang w:eastAsia="zh-CN"/>
              </w:rPr>
            </w:pPr>
            <w:r>
              <w:rPr>
                <w:rFonts w:hint="eastAsia"/>
                <w:color w:val="000000"/>
                <w:sz w:val="28"/>
                <w:szCs w:val="28"/>
                <w:lang w:eastAsia="zh-CN"/>
              </w:rPr>
              <w:t>奉新县公安局</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right"/>
              <w:textAlignment w:val="bottom"/>
              <w:rPr>
                <w:color w:val="000000"/>
                <w:sz w:val="28"/>
                <w:szCs w:val="28"/>
              </w:rPr>
            </w:pP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noWrap/>
            <w:tcMar>
              <w:top w:w="15" w:type="dxa"/>
              <w:left w:w="15" w:type="dxa"/>
              <w:right w:w="15" w:type="dxa"/>
            </w:tcMar>
            <w:vAlign w:val="bottom"/>
          </w:tcPr>
          <w:p>
            <w:pPr>
              <w:spacing w:line="600" w:lineRule="exact"/>
              <w:jc w:val="center"/>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right"/>
              <w:rPr>
                <w:color w:val="000000"/>
                <w:sz w:val="28"/>
                <w:szCs w:val="28"/>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评价机构：</w:t>
            </w:r>
          </w:p>
        </w:tc>
        <w:tc>
          <w:tcPr>
            <w:tcW w:w="7560" w:type="dxa"/>
            <w:gridSpan w:val="7"/>
            <w:tcBorders>
              <w:top w:val="nil"/>
              <w:left w:val="nil"/>
              <w:bottom w:val="single" w:color="000000" w:sz="4" w:space="0"/>
              <w:right w:val="nil"/>
            </w:tcBorders>
            <w:noWrap/>
            <w:tcMar>
              <w:top w:w="15" w:type="dxa"/>
              <w:left w:w="15" w:type="dxa"/>
              <w:right w:w="15" w:type="dxa"/>
            </w:tcMar>
            <w:vAlign w:val="center"/>
          </w:tcPr>
          <w:p>
            <w:pPr>
              <w:widowControl/>
              <w:spacing w:line="600" w:lineRule="exact"/>
              <w:jc w:val="left"/>
              <w:textAlignment w:val="center"/>
              <w:rPr>
                <w:color w:val="000000"/>
                <w:sz w:val="28"/>
                <w:szCs w:val="28"/>
              </w:rPr>
            </w:pPr>
            <w:r>
              <w:rPr>
                <w:color w:val="000000"/>
                <w:kern w:val="0"/>
                <w:sz w:val="28"/>
                <w:szCs w:val="28"/>
              </w:rPr>
              <w:sym w:font="Wingdings 2" w:char="00A3"/>
            </w:r>
            <w:r>
              <w:rPr>
                <w:rFonts w:hint="eastAsia" w:cs="仿宋_GB2312"/>
                <w:color w:val="000000"/>
                <w:kern w:val="0"/>
                <w:sz w:val="28"/>
                <w:szCs w:val="28"/>
              </w:rPr>
              <w:t>中介机构</w:t>
            </w:r>
            <w:r>
              <w:rPr>
                <w:color w:val="000000"/>
                <w:kern w:val="0"/>
                <w:sz w:val="28"/>
                <w:szCs w:val="28"/>
              </w:rPr>
              <w:t xml:space="preserve">       </w:t>
            </w:r>
            <w:r>
              <w:rPr>
                <w:color w:val="000000"/>
                <w:kern w:val="0"/>
                <w:sz w:val="28"/>
                <w:szCs w:val="28"/>
              </w:rPr>
              <w:sym w:font="Wingdings 2" w:char="00A3"/>
            </w:r>
            <w:r>
              <w:rPr>
                <w:rFonts w:hint="eastAsia" w:cs="仿宋_GB2312"/>
                <w:color w:val="000000"/>
                <w:kern w:val="0"/>
                <w:sz w:val="28"/>
                <w:szCs w:val="28"/>
              </w:rPr>
              <w:t>专家组</w:t>
            </w:r>
            <w:r>
              <w:rPr>
                <w:color w:val="000000"/>
                <w:kern w:val="0"/>
                <w:sz w:val="28"/>
                <w:szCs w:val="28"/>
              </w:rPr>
              <w:t xml:space="preserve">      </w:t>
            </w:r>
            <w:r>
              <w:rPr>
                <w:color w:val="000000"/>
                <w:kern w:val="0"/>
                <w:sz w:val="28"/>
                <w:szCs w:val="28"/>
              </w:rPr>
              <w:sym w:font="Wingdings 2" w:char="0052"/>
            </w:r>
            <w:r>
              <w:rPr>
                <w:rFonts w:hint="eastAsia" w:cs="仿宋_GB2312"/>
                <w:color w:val="000000"/>
                <w:kern w:val="0"/>
                <w:sz w:val="28"/>
                <w:szCs w:val="28"/>
              </w:rPr>
              <w:t>单位评价组</w:t>
            </w: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评价年度：</w:t>
            </w:r>
          </w:p>
        </w:tc>
        <w:tc>
          <w:tcPr>
            <w:tcW w:w="5880" w:type="dxa"/>
            <w:gridSpan w:val="6"/>
            <w:tcBorders>
              <w:top w:val="nil"/>
              <w:left w:val="nil"/>
              <w:bottom w:val="single" w:color="000000" w:sz="4" w:space="0"/>
              <w:right w:val="nil"/>
            </w:tcBorders>
            <w:noWrap/>
            <w:tcMar>
              <w:top w:w="15" w:type="dxa"/>
              <w:left w:w="15" w:type="dxa"/>
              <w:right w:w="15" w:type="dxa"/>
            </w:tcMar>
            <w:vAlign w:val="bottom"/>
          </w:tcPr>
          <w:p>
            <w:pPr>
              <w:spacing w:line="600" w:lineRule="exact"/>
              <w:jc w:val="center"/>
              <w:rPr>
                <w:rFonts w:hint="default" w:eastAsia="仿宋_GB2312"/>
                <w:color w:val="000000"/>
                <w:sz w:val="28"/>
                <w:szCs w:val="28"/>
                <w:lang w:val="en-US" w:eastAsia="zh-CN"/>
              </w:rPr>
            </w:pPr>
            <w:r>
              <w:rPr>
                <w:rFonts w:hint="eastAsia"/>
                <w:color w:val="000000"/>
                <w:sz w:val="28"/>
                <w:szCs w:val="28"/>
                <w:lang w:val="en-US" w:eastAsia="zh-CN"/>
              </w:rPr>
              <w:t>2020年度</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jc w:val="center"/>
              <w:rPr>
                <w:color w:val="000000"/>
                <w:sz w:val="24"/>
                <w:szCs w:val="24"/>
              </w:rPr>
            </w:pPr>
          </w:p>
        </w:tc>
      </w:tr>
      <w:tr>
        <w:tblPrEx>
          <w:tblCellMar>
            <w:top w:w="0" w:type="dxa"/>
            <w:left w:w="0" w:type="dxa"/>
            <w:bottom w:w="0" w:type="dxa"/>
            <w:right w:w="0" w:type="dxa"/>
          </w:tblCellMar>
        </w:tblPrEx>
        <w:trPr>
          <w:trHeight w:val="615"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8"/>
                <w:szCs w:val="28"/>
              </w:rPr>
            </w:pPr>
            <w:r>
              <w:rPr>
                <w:rFonts w:hint="eastAsia" w:cs="仿宋_GB2312"/>
                <w:color w:val="000000"/>
                <w:kern w:val="0"/>
                <w:sz w:val="28"/>
                <w:szCs w:val="28"/>
              </w:rPr>
              <w:t>主管部门：</w:t>
            </w:r>
          </w:p>
        </w:tc>
        <w:tc>
          <w:tcPr>
            <w:tcW w:w="90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320" w:type="dxa"/>
            <w:tcBorders>
              <w:top w:val="nil"/>
              <w:left w:val="nil"/>
              <w:bottom w:val="single" w:color="000000" w:sz="4" w:space="0"/>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3660" w:type="dxa"/>
            <w:gridSpan w:val="4"/>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both"/>
              <w:textAlignment w:val="bottom"/>
              <w:rPr>
                <w:color w:val="000000"/>
                <w:sz w:val="24"/>
                <w:szCs w:val="24"/>
              </w:rPr>
            </w:pPr>
            <w:r>
              <w:rPr>
                <w:rFonts w:hint="eastAsia"/>
                <w:color w:val="000000"/>
                <w:sz w:val="28"/>
                <w:szCs w:val="28"/>
                <w:lang w:val="en-US" w:eastAsia="zh-CN"/>
              </w:rPr>
              <w:t xml:space="preserve">奉新县公安局  </w:t>
            </w:r>
            <w:r>
              <w:rPr>
                <w:color w:val="000000"/>
                <w:kern w:val="0"/>
                <w:sz w:val="24"/>
                <w:szCs w:val="24"/>
              </w:rPr>
              <w:t xml:space="preserve">  </w:t>
            </w:r>
          </w:p>
        </w:tc>
        <w:tc>
          <w:tcPr>
            <w:tcW w:w="1680" w:type="dxa"/>
            <w:tcBorders>
              <w:top w:val="nil"/>
              <w:left w:val="nil"/>
              <w:bottom w:val="single" w:color="000000" w:sz="4" w:space="0"/>
              <w:right w:val="nil"/>
            </w:tcBorders>
            <w:shd w:val="clear" w:color="auto" w:fill="FFFFFF"/>
            <w:noWrap/>
            <w:tcMar>
              <w:top w:w="15" w:type="dxa"/>
              <w:left w:w="15" w:type="dxa"/>
              <w:right w:w="15" w:type="dxa"/>
            </w:tcMar>
            <w:vAlign w:val="bottom"/>
          </w:tcPr>
          <w:p>
            <w:pPr>
              <w:widowControl/>
              <w:spacing w:line="600" w:lineRule="exact"/>
              <w:jc w:val="left"/>
              <w:textAlignment w:val="bottom"/>
              <w:rPr>
                <w:color w:val="000000"/>
                <w:sz w:val="24"/>
                <w:szCs w:val="24"/>
              </w:rPr>
            </w:pPr>
            <w:r>
              <w:rPr>
                <w:color w:val="000000"/>
                <w:kern w:val="0"/>
                <w:sz w:val="24"/>
                <w:szCs w:val="24"/>
              </w:rPr>
              <w:t xml:space="preserve">      </w:t>
            </w:r>
            <w:r>
              <w:rPr>
                <w:color w:val="000000"/>
                <w:kern w:val="0"/>
                <w:sz w:val="28"/>
                <w:szCs w:val="28"/>
              </w:rPr>
              <w:t>(</w:t>
            </w:r>
            <w:r>
              <w:rPr>
                <w:rFonts w:hint="eastAsia" w:cs="仿宋_GB2312"/>
                <w:color w:val="000000"/>
                <w:kern w:val="0"/>
                <w:sz w:val="28"/>
                <w:szCs w:val="28"/>
              </w:rPr>
              <w:t>盖章</w:t>
            </w:r>
            <w:r>
              <w:rPr>
                <w:color w:val="000000"/>
                <w:kern w:val="0"/>
                <w:sz w:val="28"/>
                <w:szCs w:val="28"/>
              </w:rPr>
              <w:t>)</w:t>
            </w: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4"/>
                <w:szCs w:val="24"/>
              </w:rPr>
            </w:pPr>
          </w:p>
        </w:tc>
      </w:tr>
      <w:tr>
        <w:tblPrEx>
          <w:tblCellMar>
            <w:top w:w="0" w:type="dxa"/>
            <w:left w:w="0" w:type="dxa"/>
            <w:bottom w:w="0" w:type="dxa"/>
            <w:right w:w="0" w:type="dxa"/>
          </w:tblCellMar>
        </w:tblPrEx>
        <w:trPr>
          <w:trHeight w:val="720" w:hRule="atLeast"/>
        </w:trPr>
        <w:tc>
          <w:tcPr>
            <w:tcW w:w="14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0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32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97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69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17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825"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c>
          <w:tcPr>
            <w:tcW w:w="1680" w:type="dxa"/>
            <w:tcBorders>
              <w:top w:val="nil"/>
              <w:left w:val="nil"/>
              <w:bottom w:val="nil"/>
              <w:right w:val="nil"/>
            </w:tcBorders>
            <w:shd w:val="clear" w:color="auto" w:fill="FFFFFF"/>
            <w:noWrap/>
            <w:tcMar>
              <w:top w:w="15" w:type="dxa"/>
              <w:left w:w="15" w:type="dxa"/>
              <w:right w:w="15" w:type="dxa"/>
            </w:tcMar>
            <w:vAlign w:val="bottom"/>
          </w:tcPr>
          <w:p>
            <w:pPr>
              <w:spacing w:line="600" w:lineRule="exact"/>
              <w:rPr>
                <w:color w:val="000000"/>
                <w:sz w:val="28"/>
                <w:szCs w:val="28"/>
              </w:rPr>
            </w:pP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widowControl/>
              <w:spacing w:line="600" w:lineRule="exact"/>
              <w:jc w:val="center"/>
              <w:textAlignment w:val="center"/>
              <w:rPr>
                <w:color w:val="000000"/>
              </w:rPr>
            </w:pPr>
            <w:r>
              <w:rPr>
                <w:rFonts w:hint="eastAsia" w:cs="仿宋_GB2312"/>
                <w:color w:val="000000"/>
                <w:kern w:val="0"/>
                <w:lang w:val="en-US" w:eastAsia="zh-CN"/>
              </w:rPr>
              <w:t>2021</w:t>
            </w:r>
            <w:r>
              <w:rPr>
                <w:rFonts w:hint="eastAsia" w:cs="仿宋_GB2312"/>
                <w:color w:val="000000"/>
                <w:kern w:val="0"/>
              </w:rPr>
              <w:t>年</w:t>
            </w:r>
            <w:r>
              <w:rPr>
                <w:color w:val="000000"/>
                <w:kern w:val="0"/>
              </w:rPr>
              <w:t xml:space="preserve">  </w:t>
            </w:r>
            <w:r>
              <w:rPr>
                <w:rFonts w:hint="eastAsia"/>
                <w:color w:val="000000"/>
                <w:kern w:val="0"/>
                <w:lang w:val="en-US" w:eastAsia="zh-CN"/>
              </w:rPr>
              <w:t>3</w:t>
            </w:r>
            <w:r>
              <w:rPr>
                <w:color w:val="000000"/>
                <w:kern w:val="0"/>
              </w:rPr>
              <w:t xml:space="preserve">  </w:t>
            </w:r>
            <w:r>
              <w:rPr>
                <w:rFonts w:hint="eastAsia" w:cs="仿宋_GB2312"/>
                <w:color w:val="000000"/>
                <w:kern w:val="0"/>
              </w:rPr>
              <w:t>月</w:t>
            </w:r>
            <w:r>
              <w:rPr>
                <w:color w:val="000000"/>
                <w:kern w:val="0"/>
              </w:rPr>
              <w:t xml:space="preserve"> </w:t>
            </w:r>
            <w:r>
              <w:rPr>
                <w:rFonts w:hint="eastAsia"/>
                <w:color w:val="000000"/>
                <w:kern w:val="0"/>
                <w:lang w:val="en-US" w:eastAsia="zh-CN"/>
              </w:rPr>
              <w:t xml:space="preserve"> 20</w:t>
            </w:r>
            <w:r>
              <w:rPr>
                <w:color w:val="000000"/>
                <w:kern w:val="0"/>
              </w:rPr>
              <w:t xml:space="preserve">  </w:t>
            </w:r>
            <w:r>
              <w:rPr>
                <w:rFonts w:hint="eastAsia" w:cs="仿宋_GB2312"/>
                <w:color w:val="000000"/>
                <w:kern w:val="0"/>
              </w:rPr>
              <w:t>日</w:t>
            </w:r>
          </w:p>
        </w:tc>
      </w:tr>
      <w:tr>
        <w:tblPrEx>
          <w:tblCellMar>
            <w:top w:w="0" w:type="dxa"/>
            <w:left w:w="0" w:type="dxa"/>
            <w:bottom w:w="0" w:type="dxa"/>
            <w:right w:w="0" w:type="dxa"/>
          </w:tblCellMar>
        </w:tblPrEx>
        <w:trPr>
          <w:trHeight w:val="720" w:hRule="atLeast"/>
        </w:trPr>
        <w:tc>
          <w:tcPr>
            <w:tcW w:w="9030" w:type="dxa"/>
            <w:gridSpan w:val="8"/>
            <w:tcBorders>
              <w:top w:val="nil"/>
              <w:left w:val="nil"/>
              <w:bottom w:val="nil"/>
              <w:right w:val="nil"/>
            </w:tcBorders>
            <w:shd w:val="clear" w:color="auto" w:fill="FFFFFF"/>
            <w:noWrap/>
            <w:tcMar>
              <w:top w:w="15" w:type="dxa"/>
              <w:left w:w="15" w:type="dxa"/>
              <w:right w:w="15" w:type="dxa"/>
            </w:tcMar>
            <w:vAlign w:val="center"/>
          </w:tcPr>
          <w:p>
            <w:pPr>
              <w:jc w:val="center"/>
              <w:rPr>
                <w:color w:val="000000"/>
              </w:rPr>
            </w:pPr>
          </w:p>
        </w:tc>
      </w:tr>
    </w:tbl>
    <w:p/>
    <w:p>
      <w:pPr>
        <w:pStyle w:val="2"/>
        <w:ind w:left="0" w:leftChars="0" w:firstLine="0" w:firstLineChars="0"/>
        <w:jc w:val="center"/>
      </w:pPr>
      <w:r>
        <w:rPr>
          <w:rFonts w:hint="eastAsia" w:ascii="方正小标宋简体" w:hAnsi="方正小标宋简体" w:eastAsia="方正小标宋简体" w:cs="方正小标宋简体"/>
          <w:sz w:val="44"/>
          <w:szCs w:val="44"/>
        </w:rPr>
        <w:t>项目支出绩效评价报告</w:t>
      </w:r>
    </w:p>
    <w:p>
      <w:pPr>
        <w:pStyle w:val="2"/>
        <w:spacing w:line="560" w:lineRule="exact"/>
        <w:ind w:left="0" w:leftChars="0" w:firstLine="31680"/>
        <w:rPr>
          <w:rFonts w:ascii="黑体" w:hAnsi="黑体" w:eastAsia="黑体"/>
        </w:rPr>
      </w:pPr>
    </w:p>
    <w:p>
      <w:pPr>
        <w:pStyle w:val="2"/>
        <w:spacing w:line="560" w:lineRule="exact"/>
        <w:ind w:left="0" w:leftChars="0" w:firstLine="31680"/>
        <w:rPr>
          <w:rFonts w:ascii="黑体" w:hAnsi="黑体" w:eastAsia="黑体"/>
        </w:rPr>
      </w:pPr>
      <w:r>
        <w:rPr>
          <w:rFonts w:hint="eastAsia" w:ascii="黑体" w:hAnsi="黑体" w:eastAsia="黑体" w:cs="黑体"/>
        </w:rPr>
        <w:t>一、基本情况</w:t>
      </w:r>
    </w:p>
    <w:p>
      <w:pPr>
        <w:spacing w:line="560" w:lineRule="exact"/>
        <w:ind w:firstLine="643" w:firstLineChars="200"/>
        <w:rPr>
          <w:rFonts w:hint="eastAsia" w:ascii="楷体" w:hAnsi="楷体" w:eastAsia="楷体" w:cs="黑体"/>
          <w:b/>
          <w:lang w:val="en-US" w:eastAsia="zh-CN"/>
        </w:rPr>
      </w:pPr>
      <w:r>
        <w:rPr>
          <w:rFonts w:hint="eastAsia" w:ascii="楷体" w:hAnsi="楷体" w:eastAsia="楷体" w:cs="黑体"/>
          <w:b/>
        </w:rPr>
        <w:t>（一）</w:t>
      </w:r>
      <w:r>
        <w:rPr>
          <w:rFonts w:hint="eastAsia" w:ascii="楷体" w:hAnsi="楷体" w:eastAsia="楷体" w:cs="黑体"/>
          <w:b/>
          <w:lang w:val="en-US" w:eastAsia="zh-CN"/>
        </w:rPr>
        <w:t>项目概况</w:t>
      </w:r>
    </w:p>
    <w:p>
      <w:pPr>
        <w:spacing w:line="48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eastAsia="zh-CN"/>
        </w:rPr>
        <w:t>根据奉财预</w:t>
      </w:r>
      <w:r>
        <w:rPr>
          <w:rFonts w:hint="eastAsia" w:ascii="仿宋_GB2312" w:hAnsi="仿宋_GB2312" w:cs="仿宋_GB2312"/>
          <w:sz w:val="32"/>
          <w:szCs w:val="32"/>
          <w:lang w:val="en-US" w:eastAsia="zh-CN"/>
        </w:rPr>
        <w:t>[2020]1号文件安排，2020年度预算安排我局</w:t>
      </w:r>
      <w:r>
        <w:rPr>
          <w:rFonts w:hint="eastAsia" w:ascii="仿宋_GB2312" w:hAnsi="仿宋_GB2312" w:cs="仿宋_GB2312"/>
          <w:sz w:val="32"/>
          <w:szCs w:val="32"/>
          <w:lang w:eastAsia="zh-CN"/>
        </w:rPr>
        <w:t>警犬驯养经费</w:t>
      </w:r>
      <w:r>
        <w:rPr>
          <w:rFonts w:hint="eastAsia" w:ascii="仿宋_GB2312" w:hAnsi="仿宋_GB2312" w:cs="仿宋_GB2312"/>
          <w:sz w:val="32"/>
          <w:szCs w:val="32"/>
          <w:lang w:val="en-US" w:eastAsia="zh-CN"/>
        </w:rPr>
        <w:t>1万元</w:t>
      </w:r>
      <w:r>
        <w:rPr>
          <w:rFonts w:hint="eastAsia" w:ascii="仿宋_GB2312" w:hAnsi="仿宋_GB2312" w:cs="仿宋_GB2312"/>
          <w:sz w:val="32"/>
          <w:szCs w:val="32"/>
          <w:lang w:eastAsia="zh-CN"/>
        </w:rPr>
        <w:t>、禁毒专项经费</w:t>
      </w:r>
      <w:r>
        <w:rPr>
          <w:rFonts w:hint="eastAsia" w:ascii="仿宋_GB2312" w:hAnsi="仿宋_GB2312" w:cs="仿宋_GB2312"/>
          <w:sz w:val="32"/>
          <w:szCs w:val="32"/>
          <w:lang w:val="en-US" w:eastAsia="zh-CN"/>
        </w:rPr>
        <w:t>10万元</w:t>
      </w:r>
      <w:r>
        <w:rPr>
          <w:rFonts w:hint="eastAsia" w:ascii="仿宋_GB2312" w:hAnsi="仿宋_GB2312" w:cs="仿宋_GB2312"/>
          <w:sz w:val="32"/>
          <w:szCs w:val="32"/>
          <w:lang w:eastAsia="zh-CN"/>
        </w:rPr>
        <w:t>及国保专项经费</w:t>
      </w:r>
      <w:r>
        <w:rPr>
          <w:rFonts w:hint="eastAsia" w:ascii="仿宋_GB2312" w:hAnsi="仿宋_GB2312" w:cs="仿宋_GB2312"/>
          <w:sz w:val="32"/>
          <w:szCs w:val="32"/>
          <w:lang w:val="en-US" w:eastAsia="zh-CN"/>
        </w:rPr>
        <w:t>4万元。截至2020年年底，资金已经全部拨付到位、使用完毕，并确保资金专款专用。</w:t>
      </w:r>
    </w:p>
    <w:p>
      <w:pPr>
        <w:pStyle w:val="2"/>
        <w:rPr>
          <w:rFonts w:hint="default"/>
          <w:lang w:val="en-US" w:eastAsia="zh-CN"/>
        </w:rPr>
      </w:pPr>
    </w:p>
    <w:p>
      <w:pPr>
        <w:pStyle w:val="4"/>
        <w:numPr>
          <w:ilvl w:val="0"/>
          <w:numId w:val="1"/>
        </w:numPr>
        <w:shd w:val="clear" w:color="auto" w:fill="FFFFFF"/>
        <w:spacing w:before="0" w:beforeAutospacing="0" w:after="0" w:afterAutospacing="0" w:line="485" w:lineRule="atLeast"/>
        <w:ind w:firstLine="643" w:firstLineChars="200"/>
        <w:jc w:val="both"/>
        <w:rPr>
          <w:rFonts w:hint="eastAsia" w:ascii="楷体" w:hAnsi="楷体" w:eastAsia="楷体" w:cs="黑体"/>
          <w:b/>
          <w:kern w:val="2"/>
          <w:sz w:val="32"/>
          <w:szCs w:val="32"/>
          <w:lang w:val="en-US" w:eastAsia="zh-CN" w:bidi="ar-SA"/>
        </w:rPr>
      </w:pPr>
      <w:r>
        <w:rPr>
          <w:rFonts w:hint="eastAsia" w:ascii="楷体" w:hAnsi="楷体" w:eastAsia="楷体" w:cs="黑体"/>
          <w:b/>
          <w:kern w:val="2"/>
          <w:sz w:val="32"/>
          <w:szCs w:val="32"/>
          <w:lang w:val="en-US" w:eastAsia="zh-CN" w:bidi="ar-SA"/>
        </w:rPr>
        <w:t>项目绩效目标</w:t>
      </w:r>
    </w:p>
    <w:p>
      <w:pPr>
        <w:pStyle w:val="4"/>
        <w:numPr>
          <w:ilvl w:val="0"/>
          <w:numId w:val="0"/>
        </w:numPr>
        <w:shd w:val="clear" w:color="auto" w:fill="FFFFFF"/>
        <w:spacing w:before="0" w:beforeAutospacing="0" w:after="0" w:afterAutospacing="0" w:line="485" w:lineRule="atLeast"/>
        <w:jc w:val="both"/>
        <w:rPr>
          <w:rFonts w:hint="default" w:ascii="仿宋" w:hAnsi="仿宋" w:eastAsia="仿宋"/>
          <w:color w:val="333333"/>
          <w:sz w:val="29"/>
          <w:szCs w:val="29"/>
          <w:lang w:val="en-US" w:eastAsia="zh-CN"/>
        </w:rPr>
      </w:pPr>
      <w:r>
        <w:rPr>
          <w:rFonts w:hint="eastAsia" w:ascii="仿宋" w:hAnsi="仿宋" w:eastAsia="仿宋"/>
          <w:color w:val="333333"/>
          <w:sz w:val="29"/>
          <w:szCs w:val="29"/>
          <w:lang w:val="en-US" w:eastAsia="zh-CN"/>
        </w:rPr>
        <w:t xml:space="preserve"> </w:t>
      </w:r>
    </w:p>
    <w:p>
      <w:pPr>
        <w:pStyle w:val="2"/>
        <w:spacing w:line="560" w:lineRule="exact"/>
        <w:ind w:left="0" w:leftChars="0" w:firstLine="31680"/>
        <w:rPr>
          <w:rFonts w:ascii="黑体" w:hAnsi="黑体" w:eastAsia="黑体"/>
        </w:rPr>
      </w:pPr>
      <w:r>
        <w:rPr>
          <w:rFonts w:hint="eastAsia" w:ascii="黑体" w:hAnsi="黑体" w:eastAsia="黑体" w:cs="黑体"/>
        </w:rPr>
        <w:t>二、绩效评价工作开展情况</w:t>
      </w:r>
    </w:p>
    <w:p>
      <w:pPr>
        <w:spacing w:line="560" w:lineRule="exact"/>
        <w:ind w:firstLine="643" w:firstLineChars="200"/>
        <w:rPr>
          <w:rFonts w:ascii="楷体" w:hAnsi="楷体" w:eastAsia="楷体" w:cs="黑体"/>
          <w:b/>
        </w:rPr>
      </w:pPr>
      <w:r>
        <w:rPr>
          <w:rFonts w:hint="eastAsia" w:ascii="楷体" w:hAnsi="楷体" w:eastAsia="楷体" w:cs="黑体"/>
          <w:b/>
        </w:rPr>
        <w:t>（一）绩效评价目的</w:t>
      </w:r>
    </w:p>
    <w:p>
      <w:pPr>
        <w:spacing w:line="600" w:lineRule="exact"/>
        <w:ind w:firstLine="640" w:firstLineChars="200"/>
        <w:rPr>
          <w:rFonts w:hint="eastAsia" w:ascii="仿宋_GB2312"/>
          <w:lang w:val="en-US" w:eastAsia="zh-CN"/>
        </w:rPr>
      </w:pPr>
      <w:r>
        <w:rPr>
          <w:rFonts w:hint="eastAsia" w:ascii="仿宋" w:hAnsi="仿宋" w:eastAsia="仿宋" w:cs="仿宋"/>
          <w:sz w:val="32"/>
          <w:szCs w:val="32"/>
        </w:rPr>
        <w:t>开</w:t>
      </w:r>
      <w:r>
        <w:rPr>
          <w:rFonts w:hint="eastAsia" w:ascii="仿宋_GB2312"/>
          <w:lang w:val="en-US" w:eastAsia="zh-CN"/>
        </w:rPr>
        <w:t>展警犬驯养、禁毒及国保专项经费绩效评价，是为了在制度和技术层面保证政府投资项目的社会、环境和经济效益，有效提高政府决策的科学性和准确性，提升财政资金使用效率；通过对项目所产生的各种效益进行衡量比较和综合评判，便于总结经验、发现问题、加强管理；保证专项资金使用管理的规范性、安全性和有效性。</w:t>
      </w:r>
    </w:p>
    <w:p>
      <w:pPr>
        <w:spacing w:line="560" w:lineRule="exact"/>
        <w:ind w:firstLine="643" w:firstLineChars="200"/>
        <w:rPr>
          <w:rFonts w:hint="eastAsia" w:ascii="楷体" w:hAnsi="楷体" w:eastAsia="楷体" w:cs="黑体"/>
          <w:b/>
        </w:rPr>
      </w:pPr>
      <w:r>
        <w:rPr>
          <w:rFonts w:hint="eastAsia" w:ascii="楷体" w:hAnsi="楷体" w:eastAsia="楷体" w:cs="黑体"/>
          <w:b/>
          <w:lang w:eastAsia="zh-CN"/>
        </w:rPr>
        <w:t>（二）</w:t>
      </w:r>
      <w:r>
        <w:rPr>
          <w:rFonts w:hint="eastAsia" w:ascii="楷体" w:hAnsi="楷体" w:eastAsia="楷体" w:cs="黑体"/>
          <w:b/>
        </w:rPr>
        <w:t>绩效评价工作的组织</w:t>
      </w:r>
    </w:p>
    <w:p>
      <w:pPr>
        <w:spacing w:line="600" w:lineRule="exact"/>
        <w:ind w:firstLine="640" w:firstLineChars="200"/>
        <w:outlineLvl w:val="0"/>
        <w:rPr>
          <w:rFonts w:hint="eastAsia" w:ascii="仿宋_GB2312"/>
          <w:lang w:val="en-US" w:eastAsia="zh-CN"/>
        </w:rPr>
      </w:pPr>
      <w:r>
        <w:rPr>
          <w:rFonts w:hint="eastAsia" w:ascii="仿宋_GB2312"/>
          <w:lang w:val="en-US" w:eastAsia="zh-CN"/>
        </w:rPr>
        <w:t>1.各项财政资金按照项目实施进度安排，按时足额到位。未出现截留、挤占、挪用等现象。</w:t>
      </w:r>
    </w:p>
    <w:p>
      <w:pPr>
        <w:spacing w:line="600" w:lineRule="exact"/>
        <w:ind w:firstLine="640" w:firstLineChars="200"/>
        <w:outlineLvl w:val="0"/>
        <w:rPr>
          <w:rFonts w:hint="eastAsia" w:ascii="仿宋_GB2312"/>
          <w:lang w:val="en-US" w:eastAsia="zh-CN"/>
        </w:rPr>
      </w:pPr>
      <w:r>
        <w:rPr>
          <w:rFonts w:hint="eastAsia" w:ascii="仿宋_GB2312"/>
          <w:lang w:val="en-US" w:eastAsia="zh-CN"/>
        </w:rPr>
        <w:t>2.经费到达后，我局制定了资金使用方案，严格按财政资金管理工作规定和用途专款专用。</w:t>
      </w:r>
    </w:p>
    <w:p>
      <w:pPr>
        <w:spacing w:line="600" w:lineRule="exact"/>
        <w:ind w:firstLine="640" w:firstLineChars="200"/>
        <w:outlineLvl w:val="0"/>
        <w:rPr>
          <w:rFonts w:hint="eastAsia" w:ascii="仿宋_GB2312"/>
          <w:lang w:val="en-US" w:eastAsia="zh-CN"/>
        </w:rPr>
      </w:pPr>
      <w:r>
        <w:rPr>
          <w:rFonts w:hint="eastAsia" w:ascii="仿宋_GB2312"/>
          <w:lang w:val="en-US" w:eastAsia="zh-CN"/>
        </w:rPr>
        <w:t>3.申报项目工作经费的经济性主要表现在项目以最低成本达到目标，提高资金使用效率。</w:t>
      </w:r>
    </w:p>
    <w:p>
      <w:pPr>
        <w:spacing w:line="600" w:lineRule="exact"/>
        <w:ind w:firstLine="640" w:firstLineChars="200"/>
        <w:rPr>
          <w:rFonts w:hint="eastAsia" w:ascii="黑体" w:hAnsi="黑体" w:eastAsia="黑体" w:cs="黑体"/>
        </w:rPr>
      </w:pPr>
      <w:r>
        <w:rPr>
          <w:rFonts w:hint="eastAsia" w:ascii="黑体" w:hAnsi="黑体" w:eastAsia="黑体" w:cs="黑体"/>
        </w:rPr>
        <w:t>三、综合评价情况及评价结论</w:t>
      </w:r>
    </w:p>
    <w:p>
      <w:pPr>
        <w:spacing w:line="600" w:lineRule="exact"/>
        <w:ind w:firstLine="640" w:firstLineChars="200"/>
        <w:rPr>
          <w:rFonts w:hint="eastAsia" w:ascii="仿宋_GB2312"/>
          <w:lang w:val="en-US" w:eastAsia="zh-CN"/>
        </w:rPr>
      </w:pPr>
      <w:r>
        <w:rPr>
          <w:rFonts w:hint="eastAsia" w:ascii="仿宋_GB2312"/>
          <w:lang w:val="en-US" w:eastAsia="zh-CN"/>
        </w:rPr>
        <w:t>详见项目支出绩效评分表。</w:t>
      </w:r>
    </w:p>
    <w:p>
      <w:pPr>
        <w:spacing w:line="600" w:lineRule="exact"/>
        <w:ind w:firstLine="640" w:firstLineChars="200"/>
        <w:rPr>
          <w:rFonts w:ascii="黑体" w:hAnsi="黑体" w:eastAsia="黑体"/>
        </w:rPr>
      </w:pPr>
      <w:r>
        <w:rPr>
          <w:rFonts w:hint="eastAsia" w:ascii="黑体" w:hAnsi="黑体" w:eastAsia="黑体" w:cs="黑体"/>
        </w:rPr>
        <w:t>四、绩效评价指标分析</w:t>
      </w:r>
    </w:p>
    <w:p>
      <w:pPr>
        <w:spacing w:line="600" w:lineRule="exact"/>
        <w:ind w:firstLine="640" w:firstLineChars="200"/>
        <w:outlineLvl w:val="0"/>
        <w:rPr>
          <w:rFonts w:hint="eastAsia" w:ascii="仿宋_GB2312" w:cs="仿宋_GB2312"/>
          <w:lang w:eastAsia="zh-CN"/>
        </w:rPr>
      </w:pPr>
      <w:r>
        <w:rPr>
          <w:rFonts w:hint="eastAsia" w:ascii="仿宋_GB2312" w:cs="仿宋_GB2312"/>
        </w:rPr>
        <w:t>（一）项目决策情况</w:t>
      </w:r>
    </w:p>
    <w:p>
      <w:pPr>
        <w:spacing w:line="600" w:lineRule="exact"/>
        <w:ind w:firstLine="640" w:firstLineChars="200"/>
        <w:outlineLvl w:val="0"/>
        <w:rPr>
          <w:rFonts w:hint="default" w:ascii="仿宋_GB2312" w:eastAsia="仿宋_GB2312"/>
          <w:lang w:val="en-US" w:eastAsia="zh-CN"/>
        </w:rPr>
      </w:pPr>
      <w:r>
        <w:rPr>
          <w:rFonts w:hint="eastAsia" w:ascii="仿宋_GB2312"/>
          <w:lang w:val="en-US" w:eastAsia="zh-CN"/>
        </w:rPr>
        <w:t>依法依规申请设立项目，项目实施前进行了必要的可行性研究、集体决策，绩效目标设置清晰合理。根据工作目标和任务，编制了详细科学的经费预算。</w:t>
      </w:r>
    </w:p>
    <w:p>
      <w:pPr>
        <w:numPr>
          <w:numId w:val="0"/>
        </w:numPr>
        <w:spacing w:line="600" w:lineRule="exact"/>
        <w:ind w:leftChars="200"/>
        <w:outlineLvl w:val="0"/>
        <w:rPr>
          <w:rFonts w:hint="eastAsia" w:ascii="仿宋_GB2312" w:cs="仿宋_GB2312"/>
          <w:lang w:eastAsia="zh-CN"/>
        </w:rPr>
      </w:pPr>
      <w:r>
        <w:rPr>
          <w:rFonts w:hint="eastAsia" w:ascii="仿宋_GB2312" w:cs="仿宋_GB2312"/>
          <w:lang w:eastAsia="zh-CN"/>
        </w:rPr>
        <w:t>（二）</w:t>
      </w:r>
      <w:r>
        <w:rPr>
          <w:rFonts w:hint="eastAsia" w:ascii="仿宋_GB2312" w:cs="仿宋_GB2312"/>
        </w:rPr>
        <w:t>项目过程情况</w:t>
      </w:r>
    </w:p>
    <w:p>
      <w:pPr>
        <w:numPr>
          <w:numId w:val="0"/>
        </w:numPr>
        <w:spacing w:line="600" w:lineRule="exact"/>
        <w:ind w:firstLine="640" w:firstLineChars="200"/>
        <w:outlineLvl w:val="0"/>
        <w:rPr>
          <w:rFonts w:hint="default" w:ascii="仿宋_GB2312" w:eastAsia="仿宋_GB2312"/>
          <w:lang w:val="en-US" w:eastAsia="zh-CN"/>
        </w:rPr>
      </w:pPr>
      <w:r>
        <w:rPr>
          <w:rFonts w:hint="eastAsia" w:ascii="仿宋_GB2312"/>
          <w:lang w:eastAsia="zh-CN"/>
        </w:rPr>
        <w:t>根据经费预算合理地分配经费，资金到位率和执行率均为</w:t>
      </w:r>
      <w:r>
        <w:rPr>
          <w:rFonts w:hint="eastAsia" w:ascii="仿宋_GB2312"/>
          <w:lang w:val="en-US" w:eastAsia="zh-CN"/>
        </w:rPr>
        <w:t>100%。资金使用过程中严格执行有关项目资金管理办法，资金拨付、使用有着严格的审批程序，不存在截留、挤占、挪用、虚列支出等情况。</w:t>
      </w:r>
    </w:p>
    <w:p>
      <w:pPr>
        <w:numPr>
          <w:ilvl w:val="0"/>
          <w:numId w:val="1"/>
        </w:numPr>
        <w:spacing w:line="600" w:lineRule="exact"/>
        <w:ind w:left="0" w:leftChars="0" w:firstLine="640" w:firstLineChars="200"/>
        <w:outlineLvl w:val="0"/>
        <w:rPr>
          <w:rFonts w:hint="eastAsia" w:ascii="仿宋_GB2312" w:cs="仿宋_GB2312"/>
          <w:lang w:eastAsia="zh-CN"/>
        </w:rPr>
      </w:pPr>
      <w:r>
        <w:rPr>
          <w:rFonts w:hint="eastAsia" w:ascii="仿宋_GB2312" w:cs="仿宋_GB2312"/>
        </w:rPr>
        <w:t>项目产出情况</w:t>
      </w:r>
    </w:p>
    <w:p>
      <w:pPr>
        <w:numPr>
          <w:numId w:val="0"/>
        </w:numPr>
        <w:spacing w:line="600" w:lineRule="exact"/>
        <w:ind w:firstLine="640" w:firstLineChars="200"/>
        <w:outlineLvl w:val="0"/>
        <w:rPr>
          <w:rFonts w:hint="default"/>
          <w:lang w:val="en-US" w:eastAsia="zh-CN"/>
        </w:rPr>
      </w:pPr>
      <w:r>
        <w:rPr>
          <w:rFonts w:hint="eastAsia" w:ascii="仿宋_GB2312" w:hAnsi="仿宋_GB2312" w:cs="仿宋_GB2312"/>
          <w:sz w:val="32"/>
          <w:szCs w:val="32"/>
          <w:lang w:eastAsia="zh-CN"/>
        </w:rPr>
        <w:t>警犬驯养</w:t>
      </w:r>
      <w:r>
        <w:rPr>
          <w:rFonts w:hint="eastAsia" w:ascii="仿宋_GB2312" w:hAnsi="仿宋_GB2312" w:cs="仿宋_GB2312"/>
          <w:sz w:val="32"/>
          <w:szCs w:val="32"/>
          <w:lang w:val="en-US" w:eastAsia="zh-CN"/>
        </w:rPr>
        <w:t>2只，购买禁毒专用检测试剂2批，工作任务完成率、完成及时率及成本节约率均为100%。</w:t>
      </w:r>
    </w:p>
    <w:p>
      <w:pPr>
        <w:numPr>
          <w:ilvl w:val="0"/>
          <w:numId w:val="1"/>
        </w:numPr>
        <w:spacing w:line="480" w:lineRule="auto"/>
        <w:ind w:left="0" w:leftChars="0" w:firstLine="640" w:firstLineChars="200"/>
        <w:rPr>
          <w:rFonts w:hint="eastAsia" w:ascii="仿宋_GB2312" w:cs="仿宋_GB2312"/>
          <w:lang w:eastAsia="zh-CN"/>
        </w:rPr>
      </w:pPr>
      <w:r>
        <w:rPr>
          <w:rFonts w:hint="eastAsia" w:ascii="仿宋_GB2312" w:cs="仿宋_GB2312"/>
        </w:rPr>
        <w:t>项目效益情况</w:t>
      </w:r>
    </w:p>
    <w:p>
      <w:pPr>
        <w:numPr>
          <w:ilvl w:val="0"/>
          <w:numId w:val="0"/>
        </w:numPr>
        <w:spacing w:line="600" w:lineRule="exact"/>
        <w:ind w:firstLine="640" w:firstLineChars="200"/>
        <w:outlineLvl w:val="0"/>
        <w:rPr>
          <w:rFonts w:hint="default" w:ascii="仿宋_GB2312" w:hAnsi="仿宋_GB2312" w:cs="仿宋_GB2312"/>
          <w:sz w:val="32"/>
          <w:szCs w:val="32"/>
          <w:lang w:val="en-US" w:eastAsia="zh-CN"/>
        </w:rPr>
      </w:pPr>
      <w:r>
        <w:rPr>
          <w:rFonts w:hint="eastAsia" w:ascii="仿宋_GB2312" w:hAnsi="仿宋_GB2312" w:cs="仿宋_GB2312"/>
          <w:sz w:val="32"/>
          <w:szCs w:val="32"/>
          <w:lang w:eastAsia="zh-CN"/>
        </w:rPr>
        <w:t>警犬驯养、禁毒及国保专项资金的投入使用一定程度上缓解了我局经费紧缺的压力。禁毒和国内安全保卫工作是公安工作的重点和难点，我局工作得到了上级部门的肯定，维护了社会大局稳定和人民群众的切身利益，为地方可持续发展保驾护航。</w:t>
      </w:r>
    </w:p>
    <w:p>
      <w:pPr>
        <w:spacing w:line="600" w:lineRule="exact"/>
        <w:ind w:firstLine="640" w:firstLineChars="200"/>
        <w:rPr>
          <w:rFonts w:hint="eastAsia" w:ascii="黑体" w:hAnsi="黑体" w:eastAsia="黑体" w:cs="黑体"/>
        </w:rPr>
      </w:pPr>
      <w:r>
        <w:rPr>
          <w:rFonts w:hint="eastAsia" w:ascii="黑体" w:hAnsi="黑体" w:eastAsia="黑体" w:cs="黑体"/>
          <w:lang w:val="en-US" w:eastAsia="zh-CN"/>
        </w:rPr>
        <w:t>五</w:t>
      </w:r>
      <w:r>
        <w:rPr>
          <w:rFonts w:hint="eastAsia" w:ascii="黑体" w:hAnsi="黑体" w:eastAsia="黑体" w:cs="黑体"/>
          <w:lang w:eastAsia="zh-CN"/>
        </w:rPr>
        <w:t>、</w:t>
      </w:r>
      <w:r>
        <w:rPr>
          <w:rFonts w:hint="eastAsia" w:ascii="黑体" w:hAnsi="黑体" w:eastAsia="黑体" w:cs="黑体"/>
        </w:rPr>
        <w:t>主要经验及做法、存在的问题及原因分析</w:t>
      </w:r>
    </w:p>
    <w:p>
      <w:pPr>
        <w:spacing w:line="600" w:lineRule="exact"/>
        <w:ind w:firstLine="640" w:firstLineChars="200"/>
        <w:outlineLvl w:val="0"/>
        <w:rPr>
          <w:rFonts w:hint="eastAsia" w:ascii="仿宋_GB2312" w:cs="仿宋_GB2312"/>
        </w:rPr>
      </w:pPr>
      <w:r>
        <w:rPr>
          <w:rFonts w:hint="eastAsia" w:ascii="仿宋_GB2312" w:cs="仿宋_GB2312"/>
        </w:rPr>
        <w:t>（一）主要经验及做法</w:t>
      </w:r>
    </w:p>
    <w:p>
      <w:pPr>
        <w:numPr>
          <w:ilvl w:val="0"/>
          <w:numId w:val="0"/>
        </w:numPr>
        <w:spacing w:line="600" w:lineRule="exact"/>
        <w:ind w:firstLine="640" w:firstLineChars="200"/>
        <w:outlineLvl w:val="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细化预算编制工作，认真做好预算的编制。进一步加强内部预算管理意识，严格按照预算编制的相关制度和要求进行预算编制；全面编制预算项目，优先保障固定性的、相对刚性的费用支出项目，进一步提高预算编制的科学性、严谨性和可控性。</w:t>
      </w:r>
    </w:p>
    <w:p>
      <w:pPr>
        <w:numPr>
          <w:ilvl w:val="0"/>
          <w:numId w:val="0"/>
        </w:numPr>
        <w:spacing w:line="600" w:lineRule="exact"/>
        <w:ind w:firstLine="640" w:firstLineChars="200"/>
        <w:outlineLvl w:val="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2.加强财务管理，严格执行预算。按照预算规定的费用项目和用途支出经费。</w:t>
      </w:r>
      <w:r>
        <w:rPr>
          <w:rFonts w:hint="eastAsia" w:ascii="仿宋_GB2312" w:hAnsi="仿宋_GB2312" w:cs="仿宋_GB2312"/>
          <w:sz w:val="32"/>
          <w:szCs w:val="32"/>
          <w:lang w:val="en-US" w:eastAsia="zh-CN"/>
        </w:rPr>
        <w:br w:type="textWrapping"/>
      </w:r>
      <w:r>
        <w:rPr>
          <w:rFonts w:hint="eastAsia" w:ascii="仿宋_GB2312" w:hAnsi="仿宋_GB2312" w:cs="仿宋_GB2312"/>
          <w:sz w:val="32"/>
          <w:szCs w:val="32"/>
          <w:lang w:val="en-US" w:eastAsia="zh-CN"/>
        </w:rPr>
        <w:t xml:space="preserve">   3.加强项目开展进度的跟踪，开展项目绩效评价，确保项目绩效目标的完成。</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（二）存在的问题及原因分析</w:t>
      </w:r>
    </w:p>
    <w:p>
      <w:pPr>
        <w:numPr>
          <w:ilvl w:val="0"/>
          <w:numId w:val="0"/>
        </w:numPr>
        <w:spacing w:line="600" w:lineRule="exact"/>
        <w:ind w:firstLine="640" w:firstLineChars="200"/>
        <w:outlineLvl w:val="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专技人才缺乏，难以适应现行的预算绩效管理。随着财政改革步伐的推进，预算绩效管理在财政改革中的地位与角色更加凸显，而当前绩效管理没有成熟模式，没有专业绩效管理人员，缺乏专业知识和相应的工作经验。</w:t>
      </w:r>
    </w:p>
    <w:p>
      <w:pPr>
        <w:numPr>
          <w:ilvl w:val="0"/>
          <w:numId w:val="0"/>
        </w:numPr>
        <w:spacing w:line="600" w:lineRule="exact"/>
        <w:ind w:firstLine="640" w:firstLineChars="200"/>
        <w:outlineLvl w:val="0"/>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2.县级财政对于项目经费的保障力度不足，我局禁毒及国保项目经费缺口很大，基本依赖于人均标准公用经费。</w:t>
      </w:r>
    </w:p>
    <w:p>
      <w:pPr>
        <w:pStyle w:val="2"/>
        <w:numPr>
          <w:ilvl w:val="0"/>
          <w:numId w:val="2"/>
        </w:numPr>
        <w:spacing w:line="560" w:lineRule="exact"/>
        <w:ind w:left="0" w:leftChars="0" w:firstLine="31680"/>
        <w:rPr>
          <w:rFonts w:hint="eastAsia" w:ascii="黑体" w:hAnsi="黑体" w:eastAsia="黑体" w:cs="黑体"/>
        </w:rPr>
      </w:pPr>
      <w:r>
        <w:rPr>
          <w:rFonts w:hint="eastAsia" w:ascii="黑体" w:hAnsi="黑体" w:eastAsia="黑体" w:cs="黑体"/>
        </w:rPr>
        <w:t>有关建议</w:t>
      </w:r>
    </w:p>
    <w:p>
      <w:pPr>
        <w:pStyle w:val="2"/>
        <w:numPr>
          <w:numId w:val="0"/>
        </w:numPr>
        <w:spacing w:line="560" w:lineRule="exact"/>
        <w:ind w:firstLine="640" w:firstLineChars="200"/>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基层</w:t>
      </w:r>
      <w:r>
        <w:rPr>
          <w:rFonts w:hint="eastAsia" w:ascii="仿宋_GB2312" w:hAnsi="仿宋_GB2312" w:cs="仿宋_GB2312"/>
          <w:kern w:val="2"/>
          <w:sz w:val="32"/>
          <w:szCs w:val="32"/>
          <w:lang w:val="en-US" w:eastAsia="zh-CN" w:bidi="ar-SA"/>
        </w:rPr>
        <w:t>单位亟需专业、专职财务人员的问题得不到重视，第三方绩效评价机构的水平还有待提高。这种局面的改观需要上级部门出台相关规定和政策。</w:t>
      </w:r>
    </w:p>
    <w:p>
      <w:pPr>
        <w:pStyle w:val="2"/>
        <w:numPr>
          <w:numId w:val="0"/>
        </w:numPr>
        <w:spacing w:line="560" w:lineRule="exact"/>
        <w:ind w:firstLine="640" w:firstLineChars="200"/>
        <w:rPr>
          <w:rFonts w:hint="default"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2.打击和预防禁毒犯罪工作和国内安全保卫工作关乎社会稳定和人民群众切身利益，希望县级财政予以更多的经费保障。</w:t>
      </w:r>
    </w:p>
    <w:p>
      <w:pPr>
        <w:pStyle w:val="2"/>
        <w:spacing w:line="560" w:lineRule="exact"/>
        <w:ind w:left="0" w:leftChars="0" w:firstLine="31680"/>
        <w:rPr>
          <w:rFonts w:hint="eastAsia" w:ascii="黑体" w:hAnsi="黑体" w:eastAsia="黑体" w:cs="黑体"/>
        </w:rPr>
      </w:pPr>
      <w:r>
        <w:rPr>
          <w:rFonts w:hint="eastAsia" w:ascii="黑体" w:hAnsi="黑体" w:eastAsia="黑体" w:cs="黑体"/>
          <w:lang w:eastAsia="zh-CN"/>
        </w:rPr>
        <w:t>六</w:t>
      </w:r>
      <w:r>
        <w:rPr>
          <w:rFonts w:hint="eastAsia" w:ascii="黑体" w:hAnsi="黑体" w:eastAsia="黑体" w:cs="黑体"/>
        </w:rPr>
        <w:t>、其他需要说明的问题</w:t>
      </w:r>
      <w:bookmarkStart w:id="0" w:name="_GoBack"/>
      <w:bookmarkEnd w:id="0"/>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sectPr>
      <w:pgSz w:w="11906" w:h="16838"/>
      <w:pgMar w:top="1984" w:right="1531" w:bottom="1984" w:left="1531" w:header="851" w:footer="992" w:gutter="0"/>
      <w:cols w:space="0" w:num="1"/>
      <w:docGrid w:type="lines" w:linePitch="44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89565F"/>
    <w:multiLevelType w:val="singleLevel"/>
    <w:tmpl w:val="C489565F"/>
    <w:lvl w:ilvl="0" w:tentative="0">
      <w:start w:val="2"/>
      <w:numFmt w:val="chineseCounting"/>
      <w:suff w:val="nothing"/>
      <w:lvlText w:val="（%1）"/>
      <w:lvlJc w:val="left"/>
      <w:rPr>
        <w:rFonts w:hint="eastAsia"/>
      </w:rPr>
    </w:lvl>
  </w:abstractNum>
  <w:abstractNum w:abstractNumId="1">
    <w:nsid w:val="461F9049"/>
    <w:multiLevelType w:val="singleLevel"/>
    <w:tmpl w:val="461F904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ZmZDJkODczOGM4NzEyN2M5YTZjODYyNWNmN2M3YzgifQ=="/>
  </w:docVars>
  <w:rsids>
    <w:rsidRoot w:val="5E50513B"/>
    <w:rsid w:val="00707E92"/>
    <w:rsid w:val="00735335"/>
    <w:rsid w:val="00895F78"/>
    <w:rsid w:val="008F6497"/>
    <w:rsid w:val="00DD1683"/>
    <w:rsid w:val="01A54D41"/>
    <w:rsid w:val="061A3D80"/>
    <w:rsid w:val="06262B67"/>
    <w:rsid w:val="066343C3"/>
    <w:rsid w:val="09020646"/>
    <w:rsid w:val="10A22D27"/>
    <w:rsid w:val="11A73633"/>
    <w:rsid w:val="12951915"/>
    <w:rsid w:val="13A527A5"/>
    <w:rsid w:val="182313E7"/>
    <w:rsid w:val="19E51D54"/>
    <w:rsid w:val="2B3B05E5"/>
    <w:rsid w:val="312319C8"/>
    <w:rsid w:val="32593F81"/>
    <w:rsid w:val="33BD61BE"/>
    <w:rsid w:val="37CB1F94"/>
    <w:rsid w:val="391B5723"/>
    <w:rsid w:val="39B24C04"/>
    <w:rsid w:val="3AA74A8B"/>
    <w:rsid w:val="465E34E6"/>
    <w:rsid w:val="4DF76AC4"/>
    <w:rsid w:val="50D54077"/>
    <w:rsid w:val="56EB73E7"/>
    <w:rsid w:val="5DFA3DEA"/>
    <w:rsid w:val="5E50513B"/>
    <w:rsid w:val="61867581"/>
    <w:rsid w:val="64EA03E6"/>
    <w:rsid w:val="679D40C2"/>
    <w:rsid w:val="6F154B2D"/>
    <w:rsid w:val="74970007"/>
    <w:rsid w:val="75450C08"/>
    <w:rsid w:val="7C8125A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8"/>
    <w:qFormat/>
    <w:uiPriority w:val="99"/>
    <w:pPr>
      <w:ind w:firstLine="420" w:firstLineChars="200"/>
    </w:pPr>
  </w:style>
  <w:style w:type="paragraph" w:styleId="3">
    <w:name w:val="Body Text Indent"/>
    <w:basedOn w:val="1"/>
    <w:link w:val="7"/>
    <w:qFormat/>
    <w:uiPriority w:val="99"/>
    <w:pPr>
      <w:ind w:left="420" w:leftChars="200"/>
    </w:p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Body Text Indent Char"/>
    <w:basedOn w:val="6"/>
    <w:link w:val="3"/>
    <w:semiHidden/>
    <w:qFormat/>
    <w:uiPriority w:val="99"/>
    <w:rPr>
      <w:rFonts w:eastAsia="仿宋_GB2312"/>
      <w:sz w:val="32"/>
      <w:szCs w:val="32"/>
    </w:rPr>
  </w:style>
  <w:style w:type="character" w:customStyle="1" w:styleId="8">
    <w:name w:val="Body Text First Indent 2 Char"/>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果核剥壳</Company>
  <Pages>5</Pages>
  <Words>1343</Words>
  <Characters>1379</Characters>
  <Lines>0</Lines>
  <Paragraphs>0</Paragraphs>
  <TotalTime>69</TotalTime>
  <ScaleCrop>false</ScaleCrop>
  <LinksUpToDate>false</LinksUpToDate>
  <CharactersWithSpaces>1428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2020-03-10T02:17:00Z</dcterms:created>
  <dc:creator>shadow</dc:creator>
  <cp:lastModifiedBy>Administrator</cp:lastModifiedBy>
  <cp:lastPrinted>2020-03-12T01:11:00Z</cp:lastPrinted>
  <dcterms:modified xsi:type="dcterms:W3CDTF">2022-09-12T08:56:54Z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D9E8AF0BA5724C9DBCF7D62A1BD604F4</vt:lpwstr>
  </property>
</Properties>
</file>